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3D8A" w:rsidRDefault="00AC3D8A" w:rsidP="00AC3D8A">
      <w:pPr>
        <w:rPr>
          <w:rFonts w:ascii="Times New Roman" w:hAnsi="Times New Roman" w:cs="Times New Roman"/>
          <w:b/>
          <w:lang w:val="en-CA"/>
        </w:rPr>
      </w:pPr>
      <w:bookmarkStart w:id="0" w:name="_GoBack"/>
      <w:r>
        <w:rPr>
          <w:rFonts w:ascii="Times New Roman" w:hAnsi="Times New Roman" w:cs="Times New Roman"/>
          <w:b/>
          <w:lang w:val="en-CA"/>
        </w:rPr>
        <w:t xml:space="preserve">ADDITIONAL FILE </w:t>
      </w:r>
      <w:r w:rsidR="00907B47">
        <w:rPr>
          <w:rFonts w:ascii="Times New Roman" w:hAnsi="Times New Roman" w:cs="Times New Roman"/>
          <w:b/>
          <w:lang w:val="en-CA"/>
        </w:rPr>
        <w:t>2</w:t>
      </w:r>
    </w:p>
    <w:bookmarkEnd w:id="0"/>
    <w:p w:rsidR="00AC3D8A" w:rsidRDefault="00AC3D8A" w:rsidP="00AC3D8A">
      <w:pPr>
        <w:rPr>
          <w:rFonts w:ascii="Times New Roman" w:hAnsi="Times New Roman" w:cs="Times New Roman"/>
          <w:b/>
          <w:lang w:val="en-CA"/>
        </w:rPr>
      </w:pPr>
    </w:p>
    <w:tbl>
      <w:tblPr>
        <w:tblStyle w:val="TableGrid"/>
        <w:tblpPr w:leftFromText="180" w:rightFromText="180" w:vertAnchor="page" w:horzAnchor="margin" w:tblpY="2412"/>
        <w:tblW w:w="13466" w:type="dxa"/>
        <w:tblLayout w:type="fixed"/>
        <w:tblLook w:val="04A0" w:firstRow="1" w:lastRow="0" w:firstColumn="1" w:lastColumn="0" w:noHBand="0" w:noVBand="1"/>
      </w:tblPr>
      <w:tblGrid>
        <w:gridCol w:w="1418"/>
        <w:gridCol w:w="992"/>
        <w:gridCol w:w="1701"/>
        <w:gridCol w:w="1701"/>
        <w:gridCol w:w="3402"/>
        <w:gridCol w:w="4252"/>
      </w:tblGrid>
      <w:tr w:rsidR="00F60FC9" w:rsidRPr="003457C7" w:rsidTr="00F60FC9">
        <w:tc>
          <w:tcPr>
            <w:tcW w:w="1418" w:type="dxa"/>
            <w:tcBorders>
              <w:left w:val="nil"/>
              <w:bottom w:val="nil"/>
              <w:right w:val="nil"/>
            </w:tcBorders>
          </w:tcPr>
          <w:p w:rsidR="00F60FC9" w:rsidRPr="003457C7" w:rsidRDefault="00F60FC9" w:rsidP="00F60FC9">
            <w:pPr>
              <w:spacing w:line="480" w:lineRule="auto"/>
              <w:rPr>
                <w:rFonts w:ascii="Times New Roman" w:hAnsi="Times New Roman" w:cs="Times New Roman"/>
              </w:rPr>
            </w:pPr>
            <w:r>
              <w:rPr>
                <w:rFonts w:ascii="Times New Roman" w:hAnsi="Times New Roman" w:cs="Times New Roman"/>
              </w:rPr>
              <w:t>Study</w:t>
            </w:r>
          </w:p>
        </w:tc>
        <w:tc>
          <w:tcPr>
            <w:tcW w:w="992" w:type="dxa"/>
            <w:tcBorders>
              <w:left w:val="nil"/>
              <w:bottom w:val="nil"/>
              <w:right w:val="nil"/>
            </w:tcBorders>
          </w:tcPr>
          <w:p w:rsidR="00F60FC9" w:rsidRDefault="00F60FC9" w:rsidP="00F60FC9">
            <w:pPr>
              <w:jc w:val="center"/>
              <w:rPr>
                <w:rFonts w:ascii="Times New Roman" w:hAnsi="Times New Roman" w:cs="Times New Roman"/>
              </w:rPr>
            </w:pPr>
            <w:r>
              <w:rPr>
                <w:rFonts w:ascii="Times New Roman" w:hAnsi="Times New Roman" w:cs="Times New Roman"/>
              </w:rPr>
              <w:t>Sample Size*</w:t>
            </w:r>
          </w:p>
          <w:p w:rsidR="00F60FC9" w:rsidRDefault="00F60FC9" w:rsidP="00F60FC9">
            <w:pPr>
              <w:jc w:val="center"/>
              <w:rPr>
                <w:rFonts w:ascii="Times New Roman" w:hAnsi="Times New Roman" w:cs="Times New Roman"/>
              </w:rPr>
            </w:pPr>
            <w:r w:rsidRPr="005B254C">
              <w:rPr>
                <w:rFonts w:ascii="Times New Roman" w:hAnsi="Times New Roman" w:cs="Times New Roman"/>
                <w:sz w:val="21"/>
                <w:szCs w:val="21"/>
              </w:rPr>
              <w:t>(n)</w:t>
            </w:r>
          </w:p>
        </w:tc>
        <w:tc>
          <w:tcPr>
            <w:tcW w:w="1701" w:type="dxa"/>
            <w:tcBorders>
              <w:left w:val="nil"/>
              <w:bottom w:val="nil"/>
              <w:right w:val="nil"/>
            </w:tcBorders>
          </w:tcPr>
          <w:p w:rsidR="00F60FC9" w:rsidRDefault="00F60FC9" w:rsidP="00F60FC9">
            <w:pPr>
              <w:jc w:val="center"/>
              <w:rPr>
                <w:rFonts w:ascii="Times New Roman" w:hAnsi="Times New Roman" w:cs="Times New Roman"/>
              </w:rPr>
            </w:pPr>
            <w:r>
              <w:rPr>
                <w:rFonts w:ascii="Times New Roman" w:hAnsi="Times New Roman" w:cs="Times New Roman"/>
              </w:rPr>
              <w:t>Sex</w:t>
            </w:r>
          </w:p>
          <w:p w:rsidR="00F60FC9" w:rsidRDefault="00F60FC9" w:rsidP="00F60FC9">
            <w:pPr>
              <w:jc w:val="center"/>
              <w:rPr>
                <w:rFonts w:ascii="Times New Roman" w:hAnsi="Times New Roman" w:cs="Times New Roman"/>
              </w:rPr>
            </w:pPr>
            <w:r w:rsidRPr="005B254C">
              <w:rPr>
                <w:rFonts w:ascii="Times New Roman" w:hAnsi="Times New Roman" w:cs="Times New Roman"/>
                <w:sz w:val="21"/>
                <w:szCs w:val="21"/>
              </w:rPr>
              <w:t>(% female)</w:t>
            </w:r>
          </w:p>
        </w:tc>
        <w:tc>
          <w:tcPr>
            <w:tcW w:w="1701" w:type="dxa"/>
            <w:tcBorders>
              <w:left w:val="nil"/>
              <w:bottom w:val="nil"/>
              <w:right w:val="nil"/>
            </w:tcBorders>
          </w:tcPr>
          <w:p w:rsidR="00F60FC9" w:rsidRDefault="00F60FC9" w:rsidP="00F60FC9">
            <w:pPr>
              <w:jc w:val="center"/>
              <w:rPr>
                <w:rFonts w:ascii="Times New Roman" w:hAnsi="Times New Roman" w:cs="Times New Roman"/>
              </w:rPr>
            </w:pPr>
            <w:r>
              <w:rPr>
                <w:rFonts w:ascii="Times New Roman" w:hAnsi="Times New Roman" w:cs="Times New Roman"/>
              </w:rPr>
              <w:t>Age</w:t>
            </w:r>
          </w:p>
          <w:p w:rsidR="00F60FC9" w:rsidRDefault="00F60FC9" w:rsidP="00F60FC9">
            <w:pPr>
              <w:jc w:val="center"/>
              <w:rPr>
                <w:rFonts w:ascii="Times New Roman" w:hAnsi="Times New Roman" w:cs="Times New Roman"/>
              </w:rPr>
            </w:pPr>
            <w:r w:rsidRPr="005B254C">
              <w:rPr>
                <w:rFonts w:ascii="Times New Roman" w:hAnsi="Times New Roman" w:cs="Times New Roman"/>
                <w:sz w:val="21"/>
                <w:szCs w:val="21"/>
              </w:rPr>
              <w:t>(years)</w:t>
            </w:r>
          </w:p>
        </w:tc>
        <w:tc>
          <w:tcPr>
            <w:tcW w:w="3402" w:type="dxa"/>
            <w:tcBorders>
              <w:left w:val="nil"/>
              <w:bottom w:val="nil"/>
              <w:right w:val="nil"/>
            </w:tcBorders>
          </w:tcPr>
          <w:p w:rsidR="00F60FC9" w:rsidRPr="003457C7" w:rsidRDefault="00F60FC9" w:rsidP="00F60FC9">
            <w:pPr>
              <w:jc w:val="center"/>
              <w:rPr>
                <w:rFonts w:ascii="Times New Roman" w:hAnsi="Times New Roman" w:cs="Times New Roman"/>
              </w:rPr>
            </w:pPr>
            <w:r>
              <w:rPr>
                <w:rFonts w:ascii="Times New Roman" w:hAnsi="Times New Roman" w:cs="Times New Roman"/>
              </w:rPr>
              <w:t>Comparison Reference</w:t>
            </w:r>
          </w:p>
        </w:tc>
        <w:tc>
          <w:tcPr>
            <w:tcW w:w="4252" w:type="dxa"/>
            <w:tcBorders>
              <w:top w:val="single" w:sz="2" w:space="0" w:color="auto"/>
              <w:left w:val="nil"/>
              <w:bottom w:val="nil"/>
              <w:right w:val="nil"/>
            </w:tcBorders>
          </w:tcPr>
          <w:p w:rsidR="00F60FC9" w:rsidRPr="003457C7" w:rsidRDefault="00F60FC9" w:rsidP="00F60FC9">
            <w:pPr>
              <w:jc w:val="center"/>
              <w:rPr>
                <w:rFonts w:ascii="Times New Roman" w:hAnsi="Times New Roman" w:cs="Times New Roman"/>
              </w:rPr>
            </w:pPr>
            <w:r>
              <w:rPr>
                <w:rFonts w:ascii="Times New Roman" w:hAnsi="Times New Roman" w:cs="Times New Roman"/>
              </w:rPr>
              <w:t>Methods for Establishing Comparison</w:t>
            </w:r>
          </w:p>
        </w:tc>
      </w:tr>
      <w:tr w:rsidR="00F60FC9" w:rsidRPr="00055022" w:rsidTr="00F60FC9">
        <w:tc>
          <w:tcPr>
            <w:tcW w:w="1418" w:type="dxa"/>
            <w:tcBorders>
              <w:left w:val="nil"/>
              <w:bottom w:val="nil"/>
              <w:right w:val="nil"/>
            </w:tcBorders>
          </w:tcPr>
          <w:p w:rsidR="00F60FC9" w:rsidRPr="001F355A" w:rsidRDefault="00F60FC9" w:rsidP="00F60FC9">
            <w:pPr>
              <w:spacing w:line="276" w:lineRule="auto"/>
              <w:rPr>
                <w:rFonts w:ascii="Times New Roman" w:hAnsi="Times New Roman" w:cs="Times New Roman"/>
                <w:sz w:val="20"/>
                <w:szCs w:val="20"/>
                <w:vertAlign w:val="superscript"/>
              </w:rPr>
            </w:pPr>
            <w:proofErr w:type="spellStart"/>
            <w:r w:rsidRPr="00055022">
              <w:rPr>
                <w:rFonts w:ascii="Times New Roman" w:hAnsi="Times New Roman" w:cs="Times New Roman"/>
                <w:sz w:val="20"/>
                <w:szCs w:val="20"/>
              </w:rPr>
              <w:t>Ingelsrud</w:t>
            </w:r>
            <w:proofErr w:type="spellEnd"/>
            <w:r w:rsidRPr="00055022">
              <w:rPr>
                <w:rFonts w:ascii="Times New Roman" w:hAnsi="Times New Roman" w:cs="Times New Roman"/>
                <w:sz w:val="20"/>
                <w:szCs w:val="20"/>
              </w:rPr>
              <w:t xml:space="preserve"> et al.</w:t>
            </w:r>
            <w:r>
              <w:rPr>
                <w:rFonts w:ascii="Times New Roman" w:hAnsi="Times New Roman" w:cs="Times New Roman"/>
                <w:sz w:val="20"/>
                <w:szCs w:val="20"/>
              </w:rPr>
              <w:t xml:space="preserve"> (2018)</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&lt;EndNote&gt;&lt;Cite&gt;&lt;Author&gt;Ingelsrud&lt;/Author&gt;&lt;Year&gt;2018&lt;/Year&gt;&lt;RecNum&gt;893&lt;/RecNum&gt;&lt;DisplayText&gt;[1]&lt;/DisplayText&gt;&lt;record&gt;&lt;rec-number&gt;893&lt;/rec-number&gt;&lt;foreign-keys&gt;&lt;key app="EN" db-id="a0z9v52x4dr5wwe9ef7v2r00srzt9p52p5sd" timestamp="1569102986"&gt;893&lt;/key&gt;&lt;/foreign-keys&gt;&lt;ref-type name="Journal Article"&gt;17&lt;/ref-type&gt;&lt;contributors&gt;&lt;authors&gt;&lt;author&gt;Ingelsrud, Lina Holm&lt;/author&gt;&lt;author&gt;Terwee, Caroline B.&lt;/author&gt;&lt;author&gt;Terluin, Berend&lt;/author&gt;&lt;author&gt;Granan, Lars-Petter&lt;/author&gt;&lt;author&gt;Engebretsen, Lars&lt;/author&gt;&lt;author&gt;Mills, Kathryn A. G.&lt;/author&gt;&lt;author&gt;Roos, Ewa M.&lt;/author&gt;&lt;/authors&gt;&lt;/contributors&gt;&lt;titles&gt;&lt;title&gt;Meaningful change scores in the Knee Injury and Osteoarthritis Outcome Score in patients undergoing anterior cruciate ligament reconstruction&lt;/title&gt;&lt;secondary-title&gt;American Journal of Sports Medicine&lt;/secondary-title&gt;&lt;/titles&gt;&lt;periodical&gt;&lt;full-title&gt;American Journal of Sports Medicine&lt;/full-title&gt;&lt;abbr-1&gt;Am J Sports Med&lt;/abbr-1&gt;&lt;/periodical&gt;&lt;pages&gt;1120-1128&lt;/pages&gt;&lt;volume&gt;46&lt;/volume&gt;&lt;number&gt;5&lt;/number&gt;&lt;dates&gt;&lt;year&gt;2018&lt;/year&gt;&lt;pub-dates&gt;&lt;date&gt;2018/04/01&lt;/date&gt;&lt;/pub-dates&gt;&lt;/dates&gt;&lt;publisher&gt;SAGE Publications Inc STM&lt;/publisher&gt;&lt;isbn&gt;0363-5465&lt;/isbn&gt;&lt;urls&gt;&lt;related-urls&gt;&lt;url&gt;https://doi.org/10.1177/0363546518759543&lt;/url&gt;&lt;/related-urls&gt;&lt;/urls&gt;&lt;electronic-resource-num&gt;10.1177/0363546518759543&lt;/electronic-resource-num&gt;&lt;access-date&gt;2019/07/17&lt;/access-date&gt;&lt;/record&gt;&lt;/Cite&gt;&lt;/EndNote&gt;</w:instrText>
            </w:r>
            <w:r>
              <w:rPr>
                <w:rFonts w:ascii="Times New Roman" w:hAnsi="Times New Roman" w:cs="Times New Roman"/>
                <w:sz w:val="20"/>
                <w:szCs w:val="20"/>
              </w:rPr>
              <w:fldChar w:fldCharType="separate"/>
            </w:r>
            <w:r>
              <w:rPr>
                <w:rFonts w:ascii="Times New Roman" w:hAnsi="Times New Roman" w:cs="Times New Roman"/>
                <w:noProof/>
                <w:sz w:val="20"/>
                <w:szCs w:val="20"/>
              </w:rPr>
              <w:t>[1]</w:t>
            </w:r>
            <w:r>
              <w:rPr>
                <w:rFonts w:ascii="Times New Roman" w:hAnsi="Times New Roman" w:cs="Times New Roman"/>
                <w:sz w:val="20"/>
                <w:szCs w:val="20"/>
              </w:rPr>
              <w:fldChar w:fldCharType="end"/>
            </w:r>
          </w:p>
        </w:tc>
        <w:tc>
          <w:tcPr>
            <w:tcW w:w="992" w:type="dxa"/>
            <w:tcBorders>
              <w:left w:val="nil"/>
              <w:bottom w:val="nil"/>
              <w:right w:val="nil"/>
            </w:tcBorders>
          </w:tcPr>
          <w:p w:rsidR="00F60FC9" w:rsidRPr="00055022" w:rsidRDefault="00F60FC9" w:rsidP="00F60FC9">
            <w:pPr>
              <w:spacing w:line="276" w:lineRule="auto"/>
              <w:jc w:val="center"/>
              <w:rPr>
                <w:rFonts w:ascii="Times New Roman" w:eastAsiaTheme="majorEastAsia" w:hAnsi="Times New Roman" w:cs="Times New Roman"/>
                <w:bCs/>
                <w:iCs/>
                <w:color w:val="000000" w:themeColor="text1"/>
                <w:sz w:val="20"/>
                <w:szCs w:val="20"/>
              </w:rPr>
            </w:pPr>
            <w:r>
              <w:rPr>
                <w:rFonts w:ascii="Times New Roman" w:eastAsiaTheme="majorEastAsia" w:hAnsi="Times New Roman" w:cs="Times New Roman"/>
                <w:bCs/>
                <w:iCs/>
                <w:color w:val="000000" w:themeColor="text1"/>
                <w:sz w:val="20"/>
                <w:szCs w:val="20"/>
              </w:rPr>
              <w:t>519</w:t>
            </w:r>
          </w:p>
        </w:tc>
        <w:tc>
          <w:tcPr>
            <w:tcW w:w="1701" w:type="dxa"/>
            <w:tcBorders>
              <w:left w:val="nil"/>
              <w:bottom w:val="nil"/>
              <w:right w:val="nil"/>
            </w:tcBorders>
          </w:tcPr>
          <w:p w:rsidR="00F60FC9" w:rsidRPr="00055022" w:rsidRDefault="00F60FC9" w:rsidP="00F60FC9">
            <w:pPr>
              <w:spacing w:line="276" w:lineRule="auto"/>
              <w:jc w:val="center"/>
              <w:rPr>
                <w:rFonts w:ascii="Times New Roman" w:eastAsiaTheme="majorEastAsia" w:hAnsi="Times New Roman" w:cs="Times New Roman"/>
                <w:bCs/>
                <w:iCs/>
                <w:color w:val="000000" w:themeColor="text1"/>
                <w:sz w:val="20"/>
                <w:szCs w:val="20"/>
              </w:rPr>
            </w:pPr>
            <w:r>
              <w:rPr>
                <w:rFonts w:ascii="Times New Roman" w:eastAsiaTheme="majorEastAsia" w:hAnsi="Times New Roman" w:cs="Times New Roman"/>
                <w:bCs/>
                <w:iCs/>
                <w:color w:val="000000" w:themeColor="text1"/>
                <w:sz w:val="20"/>
                <w:szCs w:val="20"/>
              </w:rPr>
              <w:t>52.6</w:t>
            </w:r>
          </w:p>
        </w:tc>
        <w:tc>
          <w:tcPr>
            <w:tcW w:w="1701" w:type="dxa"/>
            <w:tcBorders>
              <w:left w:val="nil"/>
              <w:bottom w:val="nil"/>
              <w:right w:val="nil"/>
            </w:tcBorders>
          </w:tcPr>
          <w:p w:rsidR="00F60FC9" w:rsidRDefault="00F60FC9" w:rsidP="00F60FC9">
            <w:pPr>
              <w:spacing w:line="276" w:lineRule="auto"/>
              <w:jc w:val="center"/>
              <w:rPr>
                <w:rFonts w:ascii="Times New Roman" w:eastAsiaTheme="majorEastAsia" w:hAnsi="Times New Roman" w:cs="Times New Roman"/>
                <w:bCs/>
                <w:iCs/>
                <w:color w:val="000000" w:themeColor="text1"/>
                <w:sz w:val="20"/>
                <w:szCs w:val="20"/>
              </w:rPr>
            </w:pPr>
            <w:r>
              <w:rPr>
                <w:rFonts w:ascii="Times New Roman" w:eastAsiaTheme="majorEastAsia" w:hAnsi="Times New Roman" w:cs="Times New Roman"/>
                <w:bCs/>
                <w:iCs/>
                <w:color w:val="000000" w:themeColor="text1"/>
                <w:sz w:val="20"/>
                <w:szCs w:val="20"/>
              </w:rPr>
              <w:t xml:space="preserve">Mean </w:t>
            </w:r>
          </w:p>
          <w:p w:rsidR="00F60FC9" w:rsidRPr="00055022" w:rsidRDefault="00F60FC9" w:rsidP="00F60FC9">
            <w:pPr>
              <w:spacing w:line="276" w:lineRule="auto"/>
              <w:jc w:val="center"/>
              <w:rPr>
                <w:rFonts w:ascii="Times New Roman" w:eastAsiaTheme="majorEastAsia" w:hAnsi="Times New Roman" w:cs="Times New Roman"/>
                <w:bCs/>
                <w:iCs/>
                <w:color w:val="000000" w:themeColor="text1"/>
                <w:sz w:val="20"/>
                <w:szCs w:val="20"/>
              </w:rPr>
            </w:pPr>
            <w:r>
              <w:rPr>
                <w:rFonts w:ascii="Times New Roman" w:eastAsiaTheme="majorEastAsia" w:hAnsi="Times New Roman" w:cs="Times New Roman"/>
                <w:bCs/>
                <w:iCs/>
                <w:color w:val="000000" w:themeColor="text1"/>
                <w:sz w:val="20"/>
                <w:szCs w:val="20"/>
              </w:rPr>
              <w:t>29.9±11.6</w:t>
            </w:r>
          </w:p>
        </w:tc>
        <w:tc>
          <w:tcPr>
            <w:tcW w:w="3402" w:type="dxa"/>
            <w:tcBorders>
              <w:left w:val="nil"/>
              <w:bottom w:val="nil"/>
              <w:right w:val="nil"/>
            </w:tcBorders>
          </w:tcPr>
          <w:p w:rsidR="00F60FC9" w:rsidRDefault="00F60FC9" w:rsidP="00F60FC9">
            <w:pPr>
              <w:spacing w:line="276" w:lineRule="auto"/>
              <w:jc w:val="center"/>
              <w:rPr>
                <w:rFonts w:ascii="Times New Roman" w:eastAsiaTheme="majorEastAsia" w:hAnsi="Times New Roman" w:cs="Times New Roman"/>
                <w:bCs/>
                <w:iCs/>
                <w:color w:val="000000" w:themeColor="text1"/>
                <w:sz w:val="20"/>
                <w:szCs w:val="20"/>
              </w:rPr>
            </w:pPr>
            <w:r>
              <w:rPr>
                <w:rFonts w:ascii="Times New Roman" w:eastAsiaTheme="majorEastAsia" w:hAnsi="Times New Roman" w:cs="Times New Roman"/>
                <w:bCs/>
                <w:iCs/>
                <w:color w:val="000000" w:themeColor="text1"/>
                <w:sz w:val="20"/>
                <w:szCs w:val="20"/>
              </w:rPr>
              <w:t>Minimal clinically important difference:</w:t>
            </w:r>
          </w:p>
          <w:p w:rsidR="00F60FC9" w:rsidRDefault="00F60FC9" w:rsidP="00F60FC9">
            <w:pPr>
              <w:spacing w:line="276" w:lineRule="auto"/>
              <w:jc w:val="center"/>
              <w:rPr>
                <w:rFonts w:ascii="Times New Roman" w:eastAsiaTheme="majorEastAsia" w:hAnsi="Times New Roman" w:cs="Times New Roman"/>
                <w:bCs/>
                <w:iCs/>
                <w:color w:val="000000" w:themeColor="text1"/>
                <w:sz w:val="20"/>
                <w:szCs w:val="20"/>
              </w:rPr>
            </w:pPr>
            <w:r>
              <w:rPr>
                <w:rFonts w:ascii="Times New Roman" w:eastAsiaTheme="majorEastAsia" w:hAnsi="Times New Roman" w:cs="Times New Roman"/>
                <w:bCs/>
                <w:iCs/>
                <w:color w:val="000000" w:themeColor="text1"/>
                <w:sz w:val="20"/>
                <w:szCs w:val="20"/>
              </w:rPr>
              <w:t>Mean 18.3 (95%CI 16.0, 20.6)</w:t>
            </w:r>
          </w:p>
          <w:p w:rsidR="00F60FC9" w:rsidRPr="00055022" w:rsidRDefault="00F60FC9" w:rsidP="00F60FC9">
            <w:pPr>
              <w:spacing w:line="276" w:lineRule="auto"/>
              <w:jc w:val="center"/>
              <w:rPr>
                <w:rFonts w:ascii="Times New Roman" w:eastAsiaTheme="majorEastAsia" w:hAnsi="Times New Roman" w:cs="Times New Roman"/>
                <w:bCs/>
                <w:iCs/>
                <w:color w:val="000000" w:themeColor="text1"/>
                <w:sz w:val="20"/>
                <w:szCs w:val="20"/>
              </w:rPr>
            </w:pPr>
          </w:p>
        </w:tc>
        <w:tc>
          <w:tcPr>
            <w:tcW w:w="4252" w:type="dxa"/>
            <w:tcBorders>
              <w:top w:val="single" w:sz="2" w:space="0" w:color="auto"/>
              <w:left w:val="nil"/>
              <w:bottom w:val="nil"/>
              <w:right w:val="nil"/>
            </w:tcBorders>
          </w:tcPr>
          <w:p w:rsidR="00F60FC9" w:rsidRDefault="00F60FC9" w:rsidP="00F60FC9">
            <w:pPr>
              <w:spacing w:line="276" w:lineRule="auto"/>
              <w:rPr>
                <w:rFonts w:ascii="Times New Roman" w:eastAsiaTheme="majorEastAsia" w:hAnsi="Times New Roman" w:cs="Times New Roman"/>
                <w:bCs/>
                <w:iCs/>
                <w:color w:val="000000" w:themeColor="text1"/>
                <w:sz w:val="20"/>
                <w:szCs w:val="20"/>
              </w:rPr>
            </w:pPr>
            <w:r>
              <w:rPr>
                <w:rFonts w:ascii="Times New Roman" w:eastAsiaTheme="majorEastAsia" w:hAnsi="Times New Roman" w:cs="Times New Roman"/>
                <w:bCs/>
                <w:iCs/>
                <w:color w:val="000000" w:themeColor="text1"/>
                <w:sz w:val="20"/>
                <w:szCs w:val="20"/>
              </w:rPr>
              <w:t>A 7-point anchor question rated the</w:t>
            </w:r>
            <w:r w:rsidRPr="00055022">
              <w:rPr>
                <w:rFonts w:ascii="Times New Roman" w:eastAsiaTheme="majorEastAsia" w:hAnsi="Times New Roman" w:cs="Times New Roman"/>
                <w:bCs/>
                <w:iCs/>
                <w:color w:val="000000" w:themeColor="text1"/>
                <w:sz w:val="20"/>
                <w:szCs w:val="20"/>
              </w:rPr>
              <w:t xml:space="preserve"> importance of change in knee-related quality of life</w:t>
            </w:r>
            <w:r>
              <w:rPr>
                <w:rFonts w:ascii="Times New Roman" w:eastAsiaTheme="majorEastAsia" w:hAnsi="Times New Roman" w:cs="Times New Roman"/>
                <w:bCs/>
                <w:iCs/>
                <w:color w:val="000000" w:themeColor="text1"/>
                <w:sz w:val="20"/>
                <w:szCs w:val="20"/>
              </w:rPr>
              <w:t xml:space="preserve"> 6-24 months after ACLR.</w:t>
            </w:r>
          </w:p>
          <w:p w:rsidR="00F60FC9" w:rsidRPr="00F60FC9" w:rsidRDefault="00F60FC9" w:rsidP="00F60FC9">
            <w:pPr>
              <w:spacing w:line="276" w:lineRule="auto"/>
              <w:rPr>
                <w:rFonts w:ascii="Times New Roman" w:eastAsiaTheme="majorEastAsia" w:hAnsi="Times New Roman" w:cs="Times New Roman"/>
                <w:bCs/>
                <w:iCs/>
                <w:color w:val="000000" w:themeColor="text1"/>
                <w:sz w:val="20"/>
                <w:szCs w:val="20"/>
              </w:rPr>
            </w:pPr>
          </w:p>
        </w:tc>
      </w:tr>
      <w:tr w:rsidR="00F60FC9" w:rsidRPr="00055022" w:rsidTr="00F60FC9">
        <w:tc>
          <w:tcPr>
            <w:tcW w:w="1418" w:type="dxa"/>
            <w:tcBorders>
              <w:top w:val="nil"/>
              <w:left w:val="nil"/>
              <w:bottom w:val="nil"/>
              <w:right w:val="nil"/>
            </w:tcBorders>
          </w:tcPr>
          <w:p w:rsidR="00F60FC9" w:rsidRPr="00055022" w:rsidRDefault="00F60FC9" w:rsidP="00F60FC9">
            <w:pPr>
              <w:spacing w:line="276" w:lineRule="auto"/>
              <w:rPr>
                <w:rFonts w:ascii="Times New Roman" w:hAnsi="Times New Roman" w:cs="Times New Roman"/>
                <w:sz w:val="20"/>
                <w:szCs w:val="20"/>
                <w:lang w:val="en-CA"/>
              </w:rPr>
            </w:pPr>
            <w:proofErr w:type="spellStart"/>
            <w:r>
              <w:rPr>
                <w:rFonts w:ascii="Times New Roman" w:hAnsi="Times New Roman" w:cs="Times New Roman"/>
                <w:sz w:val="20"/>
                <w:szCs w:val="20"/>
                <w:lang w:val="en-CA"/>
              </w:rPr>
              <w:t>Ingelsrud</w:t>
            </w:r>
            <w:proofErr w:type="spellEnd"/>
            <w:r>
              <w:rPr>
                <w:rFonts w:ascii="Times New Roman" w:hAnsi="Times New Roman" w:cs="Times New Roman"/>
                <w:sz w:val="20"/>
                <w:szCs w:val="20"/>
                <w:lang w:val="en-CA"/>
              </w:rPr>
              <w:t xml:space="preserve"> et al. (2015)</w:t>
            </w:r>
            <w:r>
              <w:rPr>
                <w:rFonts w:ascii="Times New Roman" w:hAnsi="Times New Roman" w:cs="Times New Roman"/>
                <w:sz w:val="20"/>
                <w:szCs w:val="20"/>
                <w:lang w:val="en-CA"/>
              </w:rPr>
              <w:fldChar w:fldCharType="begin"/>
            </w:r>
            <w:r>
              <w:rPr>
                <w:rFonts w:ascii="Times New Roman" w:hAnsi="Times New Roman" w:cs="Times New Roman"/>
                <w:sz w:val="20"/>
                <w:szCs w:val="20"/>
                <w:lang w:val="en-CA"/>
              </w:rPr>
              <w:instrText xml:space="preserve"> ADDIN EN.CITE &lt;EndNote&gt;&lt;Cite&gt;&lt;Author&gt;Ingelsrud&lt;/Author&gt;&lt;Year&gt;2015&lt;/Year&gt;&lt;RecNum&gt;536&lt;/RecNum&gt;&lt;DisplayText&gt;[2]&lt;/DisplayText&gt;&lt;record&gt;&lt;rec-number&gt;536&lt;/rec-number&gt;&lt;foreign-keys&gt;&lt;key app="EN" db-id="a0z9v52x4dr5wwe9ef7v2r00srzt9p52p5sd" timestamp="1532383274"&gt;536&lt;/key&gt;&lt;/foreign-keys&gt;&lt;ref-type name="Journal Article"&gt;17&lt;/ref-type&gt;&lt;contributors&gt;&lt;authors&gt;&lt;author&gt;Ingelsrud, Lina H.&lt;/author&gt;&lt;author&gt;Granan, Lars-Petter&lt;/author&gt;&lt;author&gt;Terwee, Caroline B.&lt;/author&gt;&lt;author&gt;Engebretsen, Lars&lt;/author&gt;&lt;author&gt;Roos, Ewa M.&lt;/author&gt;&lt;/authors&gt;&lt;/contributors&gt;&lt;titles&gt;&lt;title&gt;Proportion of Patients Reporting Acceptable Symptoms or Treatment Failure and Their Associated KOOS Values at 6 to 24 Months After Anterior Cruciate Ligament Reconstruction: A Study From the Norwegian Knee Ligament Registry&lt;/title&gt;&lt;secondary-title&gt;American Journal of Sports Medicine&lt;/secondary-title&gt;&lt;/titles&gt;&lt;periodical&gt;&lt;full-title&gt;American Journal of Sports Medicine&lt;/full-title&gt;&lt;abbr-1&gt;Am J Sports Med&lt;/abbr-1&gt;&lt;/periodical&gt;&lt;pages&gt;1902-1907&lt;/pages&gt;&lt;volume&gt;43&lt;/volume&gt;&lt;number&gt;8&lt;/number&gt;&lt;dates&gt;&lt;year&gt;2015&lt;/year&gt;&lt;pub-dates&gt;&lt;date&gt;2015/08/01&lt;/date&gt;&lt;/pub-dates&gt;&lt;/dates&gt;&lt;publisher&gt;SAGE Publications Inc STM&lt;/publisher&gt;&lt;isbn&gt;0363-5465&lt;/isbn&gt;&lt;urls&gt;&lt;related-urls&gt;&lt;url&gt;https://doi.org/10.1177/0363546515584041&lt;/url&gt;&lt;/related-urls&gt;&lt;/urls&gt;&lt;electronic-resource-num&gt;10.1177/0363546515584041&lt;/electronic-resource-num&gt;&lt;access-date&gt;2018/07/20&lt;/access-date&gt;&lt;/record&gt;&lt;/Cite&gt;&lt;/EndNote&gt;</w:instrText>
            </w:r>
            <w:r>
              <w:rPr>
                <w:rFonts w:ascii="Times New Roman" w:hAnsi="Times New Roman" w:cs="Times New Roman"/>
                <w:sz w:val="20"/>
                <w:szCs w:val="20"/>
                <w:lang w:val="en-CA"/>
              </w:rPr>
              <w:fldChar w:fldCharType="separate"/>
            </w:r>
            <w:r>
              <w:rPr>
                <w:rFonts w:ascii="Times New Roman" w:hAnsi="Times New Roman" w:cs="Times New Roman"/>
                <w:noProof/>
                <w:sz w:val="20"/>
                <w:szCs w:val="20"/>
                <w:lang w:val="en-CA"/>
              </w:rPr>
              <w:t>[2]</w:t>
            </w:r>
            <w:r>
              <w:rPr>
                <w:rFonts w:ascii="Times New Roman" w:hAnsi="Times New Roman" w:cs="Times New Roman"/>
                <w:sz w:val="20"/>
                <w:szCs w:val="20"/>
                <w:lang w:val="en-CA"/>
              </w:rPr>
              <w:fldChar w:fldCharType="end"/>
            </w:r>
          </w:p>
        </w:tc>
        <w:tc>
          <w:tcPr>
            <w:tcW w:w="992" w:type="dxa"/>
            <w:tcBorders>
              <w:top w:val="nil"/>
              <w:left w:val="nil"/>
              <w:bottom w:val="nil"/>
              <w:right w:val="nil"/>
            </w:tcBorders>
          </w:tcPr>
          <w:p w:rsidR="00F60FC9" w:rsidRPr="00055022" w:rsidRDefault="00F60FC9" w:rsidP="00F60FC9">
            <w:pPr>
              <w:spacing w:line="276" w:lineRule="auto"/>
              <w:jc w:val="center"/>
              <w:rPr>
                <w:rFonts w:ascii="Times New Roman" w:hAnsi="Times New Roman" w:cs="Times New Roman"/>
                <w:sz w:val="20"/>
                <w:szCs w:val="20"/>
                <w:lang w:val="en-CA"/>
              </w:rPr>
            </w:pPr>
            <w:r>
              <w:rPr>
                <w:rFonts w:ascii="Times New Roman" w:hAnsi="Times New Roman" w:cs="Times New Roman"/>
                <w:sz w:val="20"/>
                <w:szCs w:val="20"/>
                <w:lang w:val="en-CA"/>
              </w:rPr>
              <w:t>605</w:t>
            </w:r>
          </w:p>
        </w:tc>
        <w:tc>
          <w:tcPr>
            <w:tcW w:w="1701" w:type="dxa"/>
            <w:tcBorders>
              <w:top w:val="nil"/>
              <w:left w:val="nil"/>
              <w:bottom w:val="nil"/>
              <w:right w:val="nil"/>
            </w:tcBorders>
          </w:tcPr>
          <w:p w:rsidR="00F60FC9" w:rsidRPr="00055022" w:rsidRDefault="00F60FC9" w:rsidP="00F60FC9">
            <w:pPr>
              <w:spacing w:line="276" w:lineRule="auto"/>
              <w:jc w:val="center"/>
              <w:rPr>
                <w:rFonts w:ascii="Times New Roman" w:hAnsi="Times New Roman" w:cs="Times New Roman"/>
                <w:sz w:val="20"/>
                <w:szCs w:val="20"/>
                <w:lang w:val="en-CA"/>
              </w:rPr>
            </w:pPr>
            <w:r>
              <w:rPr>
                <w:rFonts w:ascii="Times New Roman" w:hAnsi="Times New Roman" w:cs="Times New Roman"/>
                <w:sz w:val="20"/>
                <w:szCs w:val="20"/>
                <w:lang w:val="en-CA"/>
              </w:rPr>
              <w:t>51.3</w:t>
            </w:r>
          </w:p>
        </w:tc>
        <w:tc>
          <w:tcPr>
            <w:tcW w:w="1701" w:type="dxa"/>
            <w:tcBorders>
              <w:top w:val="nil"/>
              <w:left w:val="nil"/>
              <w:bottom w:val="nil"/>
              <w:right w:val="nil"/>
            </w:tcBorders>
          </w:tcPr>
          <w:p w:rsidR="00F60FC9" w:rsidRDefault="00F60FC9" w:rsidP="00F60FC9">
            <w:pPr>
              <w:spacing w:line="276" w:lineRule="auto"/>
              <w:jc w:val="center"/>
              <w:rPr>
                <w:rFonts w:ascii="Times New Roman" w:hAnsi="Times New Roman" w:cs="Times New Roman"/>
                <w:sz w:val="20"/>
                <w:szCs w:val="20"/>
                <w:lang w:val="en-CA"/>
              </w:rPr>
            </w:pPr>
            <w:r>
              <w:rPr>
                <w:rFonts w:ascii="Times New Roman" w:hAnsi="Times New Roman" w:cs="Times New Roman"/>
                <w:sz w:val="20"/>
                <w:szCs w:val="20"/>
                <w:lang w:val="en-CA"/>
              </w:rPr>
              <w:t xml:space="preserve">Mean </w:t>
            </w:r>
          </w:p>
          <w:p w:rsidR="00F60FC9" w:rsidRPr="00055022" w:rsidRDefault="00F60FC9" w:rsidP="00F60FC9">
            <w:pPr>
              <w:spacing w:line="276" w:lineRule="auto"/>
              <w:jc w:val="center"/>
              <w:rPr>
                <w:rFonts w:ascii="Times New Roman" w:hAnsi="Times New Roman" w:cs="Times New Roman"/>
                <w:sz w:val="20"/>
                <w:szCs w:val="20"/>
                <w:lang w:val="en-CA"/>
              </w:rPr>
            </w:pPr>
            <w:r>
              <w:rPr>
                <w:rFonts w:ascii="Times New Roman" w:hAnsi="Times New Roman" w:cs="Times New Roman"/>
                <w:sz w:val="20"/>
                <w:szCs w:val="20"/>
                <w:lang w:val="en-CA"/>
              </w:rPr>
              <w:t>29.5</w:t>
            </w:r>
          </w:p>
        </w:tc>
        <w:tc>
          <w:tcPr>
            <w:tcW w:w="3402" w:type="dxa"/>
            <w:tcBorders>
              <w:top w:val="nil"/>
              <w:left w:val="nil"/>
              <w:bottom w:val="nil"/>
              <w:right w:val="nil"/>
            </w:tcBorders>
          </w:tcPr>
          <w:p w:rsidR="00F60FC9" w:rsidRDefault="00F60FC9" w:rsidP="00F60FC9">
            <w:pPr>
              <w:spacing w:line="276" w:lineRule="auto"/>
              <w:jc w:val="center"/>
              <w:rPr>
                <w:rFonts w:ascii="Times New Roman" w:hAnsi="Times New Roman" w:cs="Times New Roman"/>
                <w:sz w:val="20"/>
                <w:szCs w:val="20"/>
                <w:lang w:val="en-CA"/>
              </w:rPr>
            </w:pPr>
            <w:r>
              <w:rPr>
                <w:rFonts w:ascii="Times New Roman" w:hAnsi="Times New Roman" w:cs="Times New Roman"/>
                <w:sz w:val="20"/>
                <w:szCs w:val="20"/>
                <w:lang w:val="en-CA"/>
              </w:rPr>
              <w:t xml:space="preserve">Patient acceptable symptoms state: </w:t>
            </w:r>
          </w:p>
          <w:p w:rsidR="00F60FC9" w:rsidRDefault="00F60FC9" w:rsidP="00F60FC9">
            <w:pPr>
              <w:spacing w:line="276" w:lineRule="auto"/>
              <w:jc w:val="center"/>
              <w:rPr>
                <w:rFonts w:ascii="Times New Roman" w:hAnsi="Times New Roman" w:cs="Times New Roman"/>
                <w:sz w:val="20"/>
                <w:szCs w:val="20"/>
                <w:lang w:val="en-CA"/>
              </w:rPr>
            </w:pPr>
            <w:r>
              <w:rPr>
                <w:rFonts w:ascii="Times New Roman" w:hAnsi="Times New Roman" w:cs="Times New Roman"/>
                <w:sz w:val="20"/>
                <w:szCs w:val="20"/>
                <w:lang w:val="en-CA"/>
              </w:rPr>
              <w:t>Mean 72 (95%CI 69, 75)</w:t>
            </w:r>
          </w:p>
          <w:p w:rsidR="00F60FC9" w:rsidRDefault="00F60FC9" w:rsidP="00F60FC9">
            <w:pPr>
              <w:spacing w:line="276" w:lineRule="auto"/>
              <w:jc w:val="center"/>
              <w:rPr>
                <w:rFonts w:ascii="Times New Roman" w:hAnsi="Times New Roman" w:cs="Times New Roman"/>
                <w:sz w:val="20"/>
                <w:szCs w:val="20"/>
                <w:lang w:val="en-CA"/>
              </w:rPr>
            </w:pPr>
          </w:p>
          <w:p w:rsidR="00F60FC9" w:rsidRDefault="00F60FC9" w:rsidP="00F60FC9">
            <w:pPr>
              <w:spacing w:line="276" w:lineRule="auto"/>
              <w:jc w:val="center"/>
              <w:rPr>
                <w:rFonts w:ascii="Times New Roman" w:hAnsi="Times New Roman" w:cs="Times New Roman"/>
                <w:sz w:val="20"/>
                <w:szCs w:val="20"/>
                <w:lang w:val="en-CA"/>
              </w:rPr>
            </w:pPr>
          </w:p>
          <w:p w:rsidR="00F60FC9" w:rsidRDefault="00F60FC9" w:rsidP="00F60FC9">
            <w:pPr>
              <w:spacing w:line="276" w:lineRule="auto"/>
              <w:rPr>
                <w:rFonts w:ascii="Times New Roman" w:hAnsi="Times New Roman" w:cs="Times New Roman"/>
                <w:sz w:val="20"/>
                <w:szCs w:val="20"/>
                <w:lang w:val="en-CA"/>
              </w:rPr>
            </w:pPr>
          </w:p>
          <w:p w:rsidR="00F60FC9" w:rsidRDefault="00F60FC9" w:rsidP="00F60FC9">
            <w:pPr>
              <w:spacing w:line="276" w:lineRule="auto"/>
              <w:jc w:val="center"/>
              <w:rPr>
                <w:rFonts w:ascii="Times New Roman" w:hAnsi="Times New Roman" w:cs="Times New Roman"/>
                <w:sz w:val="20"/>
                <w:szCs w:val="20"/>
                <w:lang w:val="en-CA"/>
              </w:rPr>
            </w:pPr>
          </w:p>
          <w:p w:rsidR="00F60FC9" w:rsidRDefault="00F60FC9" w:rsidP="00F60FC9">
            <w:pPr>
              <w:spacing w:line="276" w:lineRule="auto"/>
              <w:rPr>
                <w:rFonts w:ascii="Times New Roman" w:hAnsi="Times New Roman" w:cs="Times New Roman"/>
                <w:sz w:val="20"/>
                <w:szCs w:val="20"/>
                <w:lang w:val="en-CA"/>
              </w:rPr>
            </w:pPr>
          </w:p>
          <w:p w:rsidR="00F60FC9" w:rsidRDefault="00F60FC9" w:rsidP="00F60FC9">
            <w:pPr>
              <w:spacing w:line="276" w:lineRule="auto"/>
              <w:jc w:val="center"/>
              <w:rPr>
                <w:rFonts w:ascii="Times New Roman" w:hAnsi="Times New Roman" w:cs="Times New Roman"/>
                <w:sz w:val="20"/>
                <w:szCs w:val="20"/>
                <w:lang w:val="en-CA"/>
              </w:rPr>
            </w:pPr>
            <w:r>
              <w:rPr>
                <w:rFonts w:ascii="Times New Roman" w:hAnsi="Times New Roman" w:cs="Times New Roman"/>
                <w:sz w:val="20"/>
                <w:szCs w:val="20"/>
                <w:lang w:val="en-CA"/>
              </w:rPr>
              <w:t>Treatment failure:</w:t>
            </w:r>
          </w:p>
          <w:p w:rsidR="00F60FC9" w:rsidRPr="00055022" w:rsidRDefault="00F60FC9" w:rsidP="00F60FC9">
            <w:pPr>
              <w:spacing w:line="276" w:lineRule="auto"/>
              <w:jc w:val="center"/>
              <w:rPr>
                <w:rFonts w:ascii="Times New Roman" w:hAnsi="Times New Roman" w:cs="Times New Roman"/>
                <w:sz w:val="20"/>
                <w:szCs w:val="20"/>
                <w:lang w:val="en-CA"/>
              </w:rPr>
            </w:pPr>
            <w:r>
              <w:rPr>
                <w:rFonts w:ascii="Times New Roman" w:hAnsi="Times New Roman" w:cs="Times New Roman"/>
                <w:sz w:val="20"/>
                <w:szCs w:val="20"/>
                <w:lang w:val="en-CA"/>
              </w:rPr>
              <w:t>Mean 24 (95%CI 17, 32)</w:t>
            </w:r>
          </w:p>
        </w:tc>
        <w:tc>
          <w:tcPr>
            <w:tcW w:w="4252" w:type="dxa"/>
            <w:tcBorders>
              <w:top w:val="nil"/>
              <w:left w:val="nil"/>
              <w:bottom w:val="nil"/>
              <w:right w:val="nil"/>
            </w:tcBorders>
          </w:tcPr>
          <w:p w:rsidR="00F60FC9" w:rsidRDefault="00F60FC9" w:rsidP="00F60FC9">
            <w:pPr>
              <w:spacing w:line="276" w:lineRule="auto"/>
              <w:rPr>
                <w:rFonts w:ascii="Times New Roman" w:hAnsi="Times New Roman" w:cs="Times New Roman"/>
                <w:sz w:val="20"/>
                <w:szCs w:val="20"/>
                <w:lang w:val="en-CA"/>
              </w:rPr>
            </w:pPr>
            <w:r>
              <w:rPr>
                <w:rFonts w:ascii="Times New Roman" w:hAnsi="Times New Roman" w:cs="Times New Roman"/>
                <w:sz w:val="20"/>
                <w:szCs w:val="20"/>
                <w:lang w:val="en-CA"/>
              </w:rPr>
              <w:t xml:space="preserve">A single question asked “Considering your knee function, do you feel that your current state is satisfactory? With </w:t>
            </w:r>
            <w:r>
              <w:rPr>
                <w:rFonts w:ascii="Times New Roman" w:hAnsi="Times New Roman" w:cs="Times New Roman"/>
                <w:i/>
                <w:iCs/>
                <w:sz w:val="20"/>
                <w:szCs w:val="20"/>
                <w:lang w:val="en-CA"/>
              </w:rPr>
              <w:t>knee function</w:t>
            </w:r>
            <w:r>
              <w:rPr>
                <w:rFonts w:ascii="Times New Roman" w:hAnsi="Times New Roman" w:cs="Times New Roman"/>
                <w:sz w:val="20"/>
                <w:szCs w:val="20"/>
                <w:lang w:val="en-CA"/>
              </w:rPr>
              <w:t>, you should take into account your knee-related quality of life.” Patients who responded “yes” were considered to have acceptable symptoms.</w:t>
            </w:r>
          </w:p>
          <w:p w:rsidR="00F60FC9" w:rsidRDefault="00F60FC9" w:rsidP="00F60FC9">
            <w:pPr>
              <w:spacing w:line="276" w:lineRule="auto"/>
              <w:rPr>
                <w:rFonts w:ascii="Times New Roman" w:hAnsi="Times New Roman" w:cs="Times New Roman"/>
                <w:sz w:val="20"/>
                <w:szCs w:val="20"/>
                <w:lang w:val="en-CA"/>
              </w:rPr>
            </w:pPr>
          </w:p>
          <w:p w:rsidR="00F60FC9" w:rsidRDefault="00F60FC9" w:rsidP="00F60FC9">
            <w:pPr>
              <w:spacing w:line="276" w:lineRule="auto"/>
              <w:rPr>
                <w:rFonts w:ascii="Times New Roman" w:hAnsi="Times New Roman" w:cs="Times New Roman"/>
                <w:sz w:val="20"/>
                <w:szCs w:val="20"/>
                <w:lang w:val="en-CA"/>
              </w:rPr>
            </w:pPr>
            <w:r>
              <w:rPr>
                <w:rFonts w:ascii="Times New Roman" w:hAnsi="Times New Roman" w:cs="Times New Roman"/>
                <w:sz w:val="20"/>
                <w:szCs w:val="20"/>
                <w:lang w:val="en-CA"/>
              </w:rPr>
              <w:t>If patients responded “no” to having acceptable symptoms, they were given a second question that asked “Would you consider your current state as being so unsatisfactory that you think the treatment has failed?” Patients who responded “yes” to this second question were considered have treatment failure.</w:t>
            </w:r>
          </w:p>
          <w:p w:rsidR="00F60FC9" w:rsidRPr="005B254C" w:rsidRDefault="00F60FC9" w:rsidP="00F60FC9">
            <w:pPr>
              <w:spacing w:line="276" w:lineRule="auto"/>
              <w:rPr>
                <w:rFonts w:ascii="Times New Roman" w:hAnsi="Times New Roman" w:cs="Times New Roman"/>
                <w:sz w:val="20"/>
                <w:szCs w:val="20"/>
                <w:lang w:val="en-CA"/>
              </w:rPr>
            </w:pPr>
          </w:p>
        </w:tc>
      </w:tr>
      <w:tr w:rsidR="00F60FC9" w:rsidRPr="00055022" w:rsidTr="00F60FC9">
        <w:tc>
          <w:tcPr>
            <w:tcW w:w="1418" w:type="dxa"/>
            <w:tcBorders>
              <w:top w:val="nil"/>
              <w:left w:val="nil"/>
              <w:bottom w:val="single" w:sz="4" w:space="0" w:color="auto"/>
              <w:right w:val="nil"/>
            </w:tcBorders>
          </w:tcPr>
          <w:p w:rsidR="00F60FC9" w:rsidRPr="00055022" w:rsidRDefault="00F60FC9" w:rsidP="00F60FC9">
            <w:pPr>
              <w:spacing w:line="276" w:lineRule="auto"/>
              <w:rPr>
                <w:rFonts w:ascii="Times New Roman" w:hAnsi="Times New Roman" w:cs="Times New Roman"/>
                <w:sz w:val="20"/>
                <w:szCs w:val="20"/>
              </w:rPr>
            </w:pPr>
            <w:r>
              <w:rPr>
                <w:rFonts w:ascii="Times New Roman" w:hAnsi="Times New Roman" w:cs="Times New Roman"/>
                <w:sz w:val="20"/>
                <w:szCs w:val="20"/>
              </w:rPr>
              <w:t>Cameron et al. (2013)</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&lt;EndNote&gt;&lt;Cite&gt;&lt;Author&gt;Cameron&lt;/Author&gt;&lt;Year&gt;2013&lt;/Year&gt;&lt;RecNum&gt;548&lt;/RecNum&gt;&lt;DisplayText&gt;[3]&lt;/DisplayText&gt;&lt;record&gt;&lt;rec-number&gt;548&lt;/rec-number&gt;&lt;foreign-keys&gt;&lt;key app="EN" db-id="a0z9v52x4dr5wwe9ef7v2r00srzt9p52p5sd" timestamp="1532631018"&gt;548&lt;/key&gt;&lt;/foreign-keys&gt;&lt;ref-type name="Journal Article"&gt;17&lt;/ref-type&gt;&lt;contributors&gt;&lt;authors&gt;&lt;author&gt;Cameron, Kenneth&lt;/author&gt;&lt;author&gt;Marshall, Stephen&lt;/author&gt;&lt;author&gt;Cameron, Kenneth L.&lt;/author&gt;&lt;author&gt;Thompson, Brandon S.&lt;/author&gt;&lt;author&gt;Peck, Karen Y.&lt;/author&gt;&lt;author&gt;Owens, Brett D.&lt;/author&gt;&lt;author&gt;Marshall, Stephen W.&lt;/author&gt;&lt;author&gt;Svoboda, Steven J.&lt;/author&gt;&lt;/authors&gt;&lt;/contributors&gt;&lt;titles&gt;&lt;title&gt;Normative values for the KOOS and WOMAC in a young athletic population history of knee ligament injury is associated with lower scores&lt;/title&gt;&lt;secondary-title&gt;American Journal of Sports Medicine&lt;/secondary-title&gt;&lt;/titles&gt;&lt;periodical&gt;&lt;full-title&gt;American Journal of Sports Medicine&lt;/full-title&gt;&lt;abbr-1&gt;Am J Sports Med&lt;/abbr-1&gt;&lt;/periodical&gt;&lt;pages&gt;582-589&lt;/pages&gt;&lt;volume&gt;41&lt;/volume&gt;&lt;number&gt;3&lt;/number&gt;&lt;dates&gt;&lt;year&gt;2013&lt;/year&gt;&lt;/dates&gt;&lt;isbn&gt;3&lt;/isbn&gt;&lt;urls&gt;&lt;/urls&gt;&lt;remote-database-name&gt;edswsc&lt;/remote-database-name&gt;&lt;/record&gt;&lt;/Cite&gt;&lt;/EndNote&gt;</w:instrText>
            </w:r>
            <w:r>
              <w:rPr>
                <w:rFonts w:ascii="Times New Roman" w:hAnsi="Times New Roman" w:cs="Times New Roman"/>
                <w:sz w:val="20"/>
                <w:szCs w:val="20"/>
              </w:rPr>
              <w:fldChar w:fldCharType="separate"/>
            </w:r>
            <w:r>
              <w:rPr>
                <w:rFonts w:ascii="Times New Roman" w:hAnsi="Times New Roman" w:cs="Times New Roman"/>
                <w:noProof/>
                <w:sz w:val="20"/>
                <w:szCs w:val="20"/>
              </w:rPr>
              <w:t>[3]</w:t>
            </w:r>
            <w:r>
              <w:rPr>
                <w:rFonts w:ascii="Times New Roman" w:hAnsi="Times New Roman" w:cs="Times New Roman"/>
                <w:sz w:val="20"/>
                <w:szCs w:val="20"/>
              </w:rPr>
              <w:fldChar w:fldCharType="end"/>
            </w:r>
          </w:p>
        </w:tc>
        <w:tc>
          <w:tcPr>
            <w:tcW w:w="992" w:type="dxa"/>
            <w:tcBorders>
              <w:top w:val="nil"/>
              <w:left w:val="nil"/>
              <w:bottom w:val="single" w:sz="4" w:space="0" w:color="auto"/>
              <w:right w:val="nil"/>
            </w:tcBorders>
          </w:tcPr>
          <w:p w:rsidR="00F60FC9" w:rsidRPr="00055022" w:rsidRDefault="00F60FC9" w:rsidP="00F60FC9">
            <w:pPr>
              <w:spacing w:line="276" w:lineRule="auto"/>
              <w:jc w:val="center"/>
              <w:rPr>
                <w:rFonts w:ascii="Times New Roman" w:hAnsi="Times New Roman" w:cs="Times New Roman"/>
                <w:sz w:val="20"/>
                <w:szCs w:val="20"/>
              </w:rPr>
            </w:pPr>
            <w:r>
              <w:rPr>
                <w:rFonts w:ascii="Times New Roman" w:hAnsi="Times New Roman" w:cs="Times New Roman"/>
                <w:sz w:val="20"/>
                <w:szCs w:val="20"/>
              </w:rPr>
              <w:t>1177</w:t>
            </w:r>
          </w:p>
        </w:tc>
        <w:tc>
          <w:tcPr>
            <w:tcW w:w="1701" w:type="dxa"/>
            <w:tcBorders>
              <w:top w:val="nil"/>
              <w:left w:val="nil"/>
              <w:bottom w:val="single" w:sz="4" w:space="0" w:color="auto"/>
              <w:right w:val="nil"/>
            </w:tcBorders>
          </w:tcPr>
          <w:p w:rsidR="00F60FC9" w:rsidRPr="00055022" w:rsidRDefault="00F60FC9" w:rsidP="00F60FC9">
            <w:pPr>
              <w:spacing w:line="276" w:lineRule="auto"/>
              <w:jc w:val="center"/>
              <w:rPr>
                <w:rFonts w:ascii="Times New Roman" w:hAnsi="Times New Roman" w:cs="Times New Roman"/>
                <w:sz w:val="20"/>
                <w:szCs w:val="20"/>
              </w:rPr>
            </w:pPr>
            <w:r>
              <w:rPr>
                <w:rFonts w:ascii="Times New Roman" w:hAnsi="Times New Roman" w:cs="Times New Roman"/>
                <w:sz w:val="20"/>
                <w:szCs w:val="20"/>
              </w:rPr>
              <w:t>21.2</w:t>
            </w:r>
          </w:p>
        </w:tc>
        <w:tc>
          <w:tcPr>
            <w:tcW w:w="1701" w:type="dxa"/>
            <w:tcBorders>
              <w:top w:val="nil"/>
              <w:left w:val="nil"/>
              <w:bottom w:val="single" w:sz="4" w:space="0" w:color="auto"/>
              <w:right w:val="nil"/>
            </w:tcBorders>
          </w:tcPr>
          <w:p w:rsidR="00F60FC9" w:rsidRDefault="00F60FC9" w:rsidP="00F60FC9">
            <w:pPr>
              <w:spacing w:line="276" w:lineRule="auto"/>
              <w:jc w:val="center"/>
              <w:rPr>
                <w:rFonts w:ascii="Times New Roman" w:eastAsiaTheme="majorEastAsia" w:hAnsi="Times New Roman" w:cs="Times New Roman"/>
                <w:bCs/>
                <w:iCs/>
                <w:color w:val="000000" w:themeColor="text1"/>
                <w:sz w:val="20"/>
                <w:szCs w:val="20"/>
              </w:rPr>
            </w:pPr>
            <w:r>
              <w:rPr>
                <w:rFonts w:ascii="Times New Roman" w:hAnsi="Times New Roman" w:cs="Times New Roman"/>
                <w:sz w:val="20"/>
                <w:szCs w:val="20"/>
              </w:rPr>
              <w:t>Mean for males 18.8</w:t>
            </w:r>
            <w:r>
              <w:rPr>
                <w:rFonts w:ascii="Times New Roman" w:eastAsiaTheme="majorEastAsia" w:hAnsi="Times New Roman" w:cs="Times New Roman"/>
                <w:bCs/>
                <w:iCs/>
                <w:color w:val="000000" w:themeColor="text1"/>
                <w:sz w:val="20"/>
                <w:szCs w:val="20"/>
              </w:rPr>
              <w:t>±0.9</w:t>
            </w:r>
          </w:p>
          <w:p w:rsidR="00F60FC9" w:rsidRDefault="00F60FC9" w:rsidP="00F60FC9">
            <w:pPr>
              <w:spacing w:line="276" w:lineRule="auto"/>
              <w:jc w:val="center"/>
              <w:rPr>
                <w:rFonts w:ascii="Times New Roman" w:eastAsiaTheme="majorEastAsia" w:hAnsi="Times New Roman" w:cs="Times New Roman"/>
                <w:bCs/>
                <w:iCs/>
                <w:color w:val="000000" w:themeColor="text1"/>
                <w:sz w:val="20"/>
                <w:szCs w:val="20"/>
              </w:rPr>
            </w:pPr>
          </w:p>
          <w:p w:rsidR="00F60FC9" w:rsidRPr="00055022" w:rsidRDefault="00F60FC9" w:rsidP="00F60FC9">
            <w:pPr>
              <w:spacing w:line="276" w:lineRule="auto"/>
              <w:jc w:val="center"/>
              <w:rPr>
                <w:rFonts w:ascii="Times New Roman" w:hAnsi="Times New Roman" w:cs="Times New Roman"/>
                <w:sz w:val="20"/>
                <w:szCs w:val="20"/>
              </w:rPr>
            </w:pPr>
            <w:r>
              <w:rPr>
                <w:rFonts w:ascii="Times New Roman" w:eastAsiaTheme="majorEastAsia" w:hAnsi="Times New Roman" w:cs="Times New Roman"/>
                <w:bCs/>
                <w:iCs/>
                <w:color w:val="000000" w:themeColor="text1"/>
                <w:sz w:val="20"/>
                <w:szCs w:val="20"/>
              </w:rPr>
              <w:t>Mean for females 18.7±0.8</w:t>
            </w:r>
          </w:p>
        </w:tc>
        <w:tc>
          <w:tcPr>
            <w:tcW w:w="3402" w:type="dxa"/>
            <w:tcBorders>
              <w:top w:val="nil"/>
              <w:left w:val="nil"/>
              <w:bottom w:val="single" w:sz="4" w:space="0" w:color="auto"/>
              <w:right w:val="nil"/>
            </w:tcBorders>
          </w:tcPr>
          <w:p w:rsidR="00F60FC9" w:rsidRDefault="00F60FC9" w:rsidP="00F60FC9">
            <w:pPr>
              <w:spacing w:line="276" w:lineRule="auto"/>
              <w:jc w:val="center"/>
              <w:rPr>
                <w:rFonts w:ascii="Times New Roman" w:hAnsi="Times New Roman" w:cs="Times New Roman"/>
                <w:sz w:val="20"/>
                <w:szCs w:val="20"/>
              </w:rPr>
            </w:pPr>
            <w:r>
              <w:rPr>
                <w:rFonts w:ascii="Times New Roman" w:hAnsi="Times New Roman" w:cs="Times New Roman"/>
                <w:sz w:val="20"/>
                <w:szCs w:val="20"/>
              </w:rPr>
              <w:t>Normative values for males:</w:t>
            </w:r>
          </w:p>
          <w:p w:rsidR="00F60FC9" w:rsidRDefault="00F60FC9" w:rsidP="00F60FC9">
            <w:pPr>
              <w:spacing w:line="276" w:lineRule="auto"/>
              <w:jc w:val="center"/>
              <w:rPr>
                <w:rFonts w:ascii="Times New Roman" w:hAnsi="Times New Roman" w:cs="Times New Roman"/>
                <w:sz w:val="20"/>
                <w:szCs w:val="20"/>
              </w:rPr>
            </w:pPr>
            <w:r>
              <w:rPr>
                <w:rFonts w:ascii="Times New Roman" w:hAnsi="Times New Roman" w:cs="Times New Roman"/>
                <w:sz w:val="20"/>
                <w:szCs w:val="20"/>
              </w:rPr>
              <w:t>Mean 92.6 (95%CI 91.9, 93.4)</w:t>
            </w:r>
          </w:p>
          <w:p w:rsidR="00F60FC9" w:rsidRDefault="00F60FC9" w:rsidP="00F60FC9">
            <w:pPr>
              <w:spacing w:line="276" w:lineRule="auto"/>
              <w:rPr>
                <w:rFonts w:ascii="Times New Roman" w:hAnsi="Times New Roman" w:cs="Times New Roman"/>
                <w:sz w:val="20"/>
                <w:szCs w:val="20"/>
              </w:rPr>
            </w:pPr>
          </w:p>
          <w:p w:rsidR="00F60FC9" w:rsidRDefault="00F60FC9" w:rsidP="00F60FC9">
            <w:pPr>
              <w:spacing w:line="276" w:lineRule="auto"/>
              <w:jc w:val="center"/>
              <w:rPr>
                <w:rFonts w:ascii="Times New Roman" w:hAnsi="Times New Roman" w:cs="Times New Roman"/>
                <w:sz w:val="20"/>
                <w:szCs w:val="20"/>
              </w:rPr>
            </w:pPr>
            <w:r>
              <w:rPr>
                <w:rFonts w:ascii="Times New Roman" w:hAnsi="Times New Roman" w:cs="Times New Roman"/>
                <w:sz w:val="20"/>
                <w:szCs w:val="20"/>
              </w:rPr>
              <w:t>Normative values for females:</w:t>
            </w:r>
          </w:p>
          <w:p w:rsidR="00F60FC9" w:rsidRPr="00055022" w:rsidRDefault="00F60FC9" w:rsidP="00F60FC9">
            <w:pPr>
              <w:spacing w:line="276" w:lineRule="auto"/>
              <w:jc w:val="center"/>
              <w:rPr>
                <w:rFonts w:ascii="Times New Roman" w:hAnsi="Times New Roman" w:cs="Times New Roman"/>
                <w:sz w:val="20"/>
                <w:szCs w:val="20"/>
              </w:rPr>
            </w:pPr>
            <w:r>
              <w:rPr>
                <w:rFonts w:ascii="Times New Roman" w:hAnsi="Times New Roman" w:cs="Times New Roman"/>
                <w:sz w:val="20"/>
                <w:szCs w:val="20"/>
              </w:rPr>
              <w:t>Mean 90.2 (95%CI 88.1, 92.3)</w:t>
            </w:r>
          </w:p>
        </w:tc>
        <w:tc>
          <w:tcPr>
            <w:tcW w:w="4252" w:type="dxa"/>
            <w:tcBorders>
              <w:top w:val="nil"/>
              <w:left w:val="nil"/>
              <w:bottom w:val="single" w:sz="4" w:space="0" w:color="auto"/>
              <w:right w:val="nil"/>
            </w:tcBorders>
          </w:tcPr>
          <w:p w:rsidR="00F60FC9" w:rsidRDefault="00F60FC9" w:rsidP="00F60FC9">
            <w:pPr>
              <w:spacing w:line="276" w:lineRule="auto"/>
              <w:rPr>
                <w:rFonts w:ascii="Times New Roman" w:hAnsi="Times New Roman" w:cs="Times New Roman"/>
                <w:sz w:val="20"/>
                <w:szCs w:val="20"/>
              </w:rPr>
            </w:pPr>
            <w:r>
              <w:rPr>
                <w:rFonts w:ascii="Times New Roman" w:hAnsi="Times New Roman" w:cs="Times New Roman"/>
                <w:sz w:val="20"/>
                <w:szCs w:val="20"/>
              </w:rPr>
              <w:t>All freshmen entering the United States Military Academy in the summer of 2011 were asked to participate in this study.</w:t>
            </w:r>
          </w:p>
          <w:p w:rsidR="00F60FC9" w:rsidRDefault="00F60FC9" w:rsidP="00F60FC9">
            <w:pPr>
              <w:spacing w:line="276" w:lineRule="auto"/>
              <w:rPr>
                <w:rFonts w:ascii="Times New Roman" w:hAnsi="Times New Roman" w:cs="Times New Roman"/>
                <w:sz w:val="20"/>
                <w:szCs w:val="20"/>
              </w:rPr>
            </w:pPr>
          </w:p>
          <w:p w:rsidR="00F60FC9" w:rsidRPr="00055022" w:rsidRDefault="00F60FC9" w:rsidP="00F60FC9">
            <w:pPr>
              <w:spacing w:line="276" w:lineRule="auto"/>
              <w:rPr>
                <w:rFonts w:ascii="Times New Roman" w:hAnsi="Times New Roman" w:cs="Times New Roman"/>
                <w:sz w:val="20"/>
                <w:szCs w:val="20"/>
              </w:rPr>
            </w:pPr>
          </w:p>
        </w:tc>
      </w:tr>
    </w:tbl>
    <w:p w:rsidR="00AC3D8A" w:rsidRPr="00F60FC9" w:rsidRDefault="00AC3D8A" w:rsidP="00AC3D8A">
      <w:pPr>
        <w:rPr>
          <w:rFonts w:ascii="Times New Roman" w:hAnsi="Times New Roman" w:cs="Times New Roman"/>
          <w:b/>
          <w:lang w:val="en-CA"/>
        </w:rPr>
      </w:pPr>
      <w:r>
        <w:rPr>
          <w:rFonts w:ascii="Times New Roman" w:hAnsi="Times New Roman" w:cs="Times New Roman"/>
          <w:b/>
          <w:lang w:val="en-CA"/>
        </w:rPr>
        <w:t xml:space="preserve">Supplementary Table 1. </w:t>
      </w:r>
      <w:r w:rsidRPr="00344580">
        <w:rPr>
          <w:rFonts w:ascii="Times New Roman" w:hAnsi="Times New Roman" w:cs="Times New Roman"/>
          <w:b/>
          <w:lang w:val="en-CA"/>
        </w:rPr>
        <w:t>Comparison references for the KOOS QOL subscale score.</w:t>
      </w:r>
    </w:p>
    <w:p w:rsidR="00F60FC9" w:rsidRDefault="00AC3D8A" w:rsidP="00AC3D8A">
      <w:pPr>
        <w:spacing w:line="480" w:lineRule="auto"/>
        <w:outlineLvl w:val="0"/>
        <w:rPr>
          <w:rFonts w:ascii="Times New Roman" w:hAnsi="Times New Roman" w:cs="Times New Roman"/>
          <w:sz w:val="21"/>
          <w:lang w:val="en-CA"/>
        </w:rPr>
      </w:pPr>
      <w:r>
        <w:rPr>
          <w:rFonts w:ascii="Times New Roman" w:hAnsi="Times New Roman" w:cs="Times New Roman"/>
          <w:sz w:val="21"/>
          <w:lang w:val="en-CA"/>
        </w:rPr>
        <w:t>*Represents the sample size used to derive the comparison reference.</w:t>
      </w:r>
    </w:p>
    <w:p w:rsidR="00AC3D8A" w:rsidRDefault="00AC3D8A" w:rsidP="00AC3D8A">
      <w:pPr>
        <w:spacing w:line="480" w:lineRule="auto"/>
        <w:outlineLvl w:val="0"/>
        <w:rPr>
          <w:rFonts w:ascii="Times New Roman" w:hAnsi="Times New Roman" w:cs="Times New Roman"/>
          <w:sz w:val="21"/>
          <w:lang w:val="en-CA"/>
        </w:rPr>
        <w:sectPr w:rsidR="00AC3D8A" w:rsidSect="00AC3D8A">
          <w:pgSz w:w="15840" w:h="12240" w:orient="landscape"/>
          <w:pgMar w:top="1440" w:right="1440" w:bottom="1440" w:left="1440" w:header="708" w:footer="708" w:gutter="0"/>
          <w:cols w:space="708"/>
          <w:docGrid w:linePitch="360"/>
        </w:sectPr>
      </w:pPr>
      <w:r w:rsidRPr="003457C7">
        <w:rPr>
          <w:rFonts w:ascii="Times New Roman" w:hAnsi="Times New Roman" w:cs="Times New Roman"/>
          <w:sz w:val="21"/>
          <w:lang w:val="en-CA"/>
        </w:rPr>
        <w:t>95%CI = 95% confidence interva</w:t>
      </w:r>
      <w:r>
        <w:rPr>
          <w:rFonts w:ascii="Times New Roman" w:hAnsi="Times New Roman" w:cs="Times New Roman"/>
          <w:sz w:val="21"/>
          <w:lang w:val="en-CA"/>
        </w:rPr>
        <w:t>l</w:t>
      </w:r>
    </w:p>
    <w:p w:rsidR="00AC3D8A" w:rsidRPr="002E602C" w:rsidRDefault="00AC3D8A" w:rsidP="00AC3D8A">
      <w:pPr>
        <w:spacing w:line="480" w:lineRule="auto"/>
        <w:outlineLvl w:val="0"/>
        <w:rPr>
          <w:rFonts w:ascii="Times New Roman" w:hAnsi="Times New Roman" w:cs="Times New Roman"/>
        </w:rPr>
      </w:pPr>
      <w:r w:rsidRPr="00AC3D8A">
        <w:rPr>
          <w:rFonts w:ascii="Times New Roman" w:hAnsi="Times New Roman" w:cs="Times New Roman"/>
          <w:b/>
          <w:bCs/>
          <w:sz w:val="21"/>
          <w:lang w:val="en-CA"/>
        </w:rPr>
        <w:lastRenderedPageBreak/>
        <w:t>REFERENCES</w:t>
      </w:r>
    </w:p>
    <w:p w:rsidR="00AC3D8A" w:rsidRPr="002A1097" w:rsidRDefault="00AC3D8A" w:rsidP="00AC3D8A">
      <w:pPr>
        <w:pStyle w:val="EndNoteBibliography"/>
        <w:framePr w:wrap="around"/>
        <w:ind w:left="567" w:hanging="567"/>
        <w:rPr>
          <w:rFonts w:ascii="Times New Roman" w:hAnsi="Times New Roman" w:cs="Times New Roman"/>
          <w:noProof/>
        </w:rPr>
      </w:pPr>
      <w:r w:rsidRPr="002A1097">
        <w:rPr>
          <w:rFonts w:ascii="Times New Roman" w:hAnsi="Times New Roman" w:cs="Times New Roman"/>
        </w:rPr>
        <w:fldChar w:fldCharType="begin"/>
      </w:r>
      <w:r w:rsidRPr="002A1097">
        <w:rPr>
          <w:rFonts w:ascii="Times New Roman" w:hAnsi="Times New Roman" w:cs="Times New Roman"/>
        </w:rPr>
        <w:instrText xml:space="preserve"> ADDIN EN.REFLIST </w:instrText>
      </w:r>
      <w:r w:rsidRPr="002A1097">
        <w:rPr>
          <w:rFonts w:ascii="Times New Roman" w:hAnsi="Times New Roman" w:cs="Times New Roman"/>
        </w:rPr>
        <w:fldChar w:fldCharType="separate"/>
      </w:r>
      <w:r w:rsidRPr="002A1097">
        <w:rPr>
          <w:rFonts w:ascii="Times New Roman" w:hAnsi="Times New Roman" w:cs="Times New Roman"/>
          <w:noProof/>
        </w:rPr>
        <w:t>1.</w:t>
      </w:r>
      <w:r w:rsidRPr="002A1097">
        <w:rPr>
          <w:rFonts w:ascii="Times New Roman" w:hAnsi="Times New Roman" w:cs="Times New Roman"/>
          <w:noProof/>
        </w:rPr>
        <w:tab/>
        <w:t>Ingelsrud LH, Terwee CB, Terluin B, Granan L-P, Engebretsen L, Mills KAG, et al. Meaningful change scores in the knee injury and osteoarthritis outcome score in patients undergoing anterior cruciate ligament reconstruction. Am J Sports Med. 2018;46(5):1120-8.</w:t>
      </w:r>
    </w:p>
    <w:p w:rsidR="00AC3D8A" w:rsidRPr="002A1097" w:rsidRDefault="00AC3D8A" w:rsidP="00AC3D8A">
      <w:pPr>
        <w:pStyle w:val="EndNoteBibliography"/>
        <w:framePr w:wrap="around"/>
        <w:ind w:left="567" w:hanging="567"/>
        <w:rPr>
          <w:rFonts w:ascii="Times New Roman" w:hAnsi="Times New Roman" w:cs="Times New Roman"/>
          <w:noProof/>
        </w:rPr>
      </w:pPr>
      <w:r w:rsidRPr="002A1097">
        <w:rPr>
          <w:rFonts w:ascii="Times New Roman" w:hAnsi="Times New Roman" w:cs="Times New Roman"/>
          <w:noProof/>
        </w:rPr>
        <w:t>2.</w:t>
      </w:r>
      <w:r w:rsidRPr="002A1097">
        <w:rPr>
          <w:rFonts w:ascii="Times New Roman" w:hAnsi="Times New Roman" w:cs="Times New Roman"/>
          <w:noProof/>
        </w:rPr>
        <w:tab/>
        <w:t>Ingelsrud LH, Granan L-P, Terwee CB, Engebretsen L, Roos EM. Proportion of patients reporting acceptable symptoms or treatment failure and their associated koos values at 6 to 24 months after anterior cruciate ligament reconstruction: A study from the norwegian knee ligament registry. Am J Sports Med. 2015;43(8):1902-7.</w:t>
      </w:r>
    </w:p>
    <w:p w:rsidR="00AC3D8A" w:rsidRPr="002A1097" w:rsidRDefault="00AC3D8A" w:rsidP="00AC3D8A">
      <w:pPr>
        <w:pStyle w:val="EndNoteBibliography"/>
        <w:framePr w:wrap="around"/>
        <w:ind w:left="567" w:hanging="567"/>
        <w:rPr>
          <w:rFonts w:ascii="Times New Roman" w:hAnsi="Times New Roman" w:cs="Times New Roman"/>
          <w:noProof/>
        </w:rPr>
      </w:pPr>
      <w:r w:rsidRPr="002A1097">
        <w:rPr>
          <w:rFonts w:ascii="Times New Roman" w:hAnsi="Times New Roman" w:cs="Times New Roman"/>
          <w:noProof/>
        </w:rPr>
        <w:t>3.</w:t>
      </w:r>
      <w:r w:rsidRPr="002A1097">
        <w:rPr>
          <w:rFonts w:ascii="Times New Roman" w:hAnsi="Times New Roman" w:cs="Times New Roman"/>
          <w:noProof/>
        </w:rPr>
        <w:tab/>
        <w:t>Cameron K, Marshall S, Cameron KL, Thompson BS, Peck KY, Owens BD, et al. Normative values for the koos and womac in a young athletic population history of knee ligament injury is associated with lower scores. Am J Sports Med. 2013;41(3):582-9.</w:t>
      </w:r>
    </w:p>
    <w:p w:rsidR="00AC3D8A" w:rsidRDefault="00AC3D8A" w:rsidP="00AC3D8A">
      <w:pPr>
        <w:spacing w:line="480" w:lineRule="auto"/>
        <w:outlineLvl w:val="0"/>
      </w:pPr>
      <w:r w:rsidRPr="002A1097">
        <w:rPr>
          <w:rFonts w:ascii="Times New Roman" w:hAnsi="Times New Roman" w:cs="Times New Roman"/>
        </w:rPr>
        <w:fldChar w:fldCharType="end"/>
      </w:r>
    </w:p>
    <w:sectPr w:rsidR="00AC3D8A" w:rsidSect="00AC3D8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D8A"/>
    <w:rsid w:val="00004261"/>
    <w:rsid w:val="0000480C"/>
    <w:rsid w:val="00005894"/>
    <w:rsid w:val="000060FA"/>
    <w:rsid w:val="000121B1"/>
    <w:rsid w:val="000213AA"/>
    <w:rsid w:val="0002664D"/>
    <w:rsid w:val="00035C2F"/>
    <w:rsid w:val="00035C4A"/>
    <w:rsid w:val="0003612D"/>
    <w:rsid w:val="00041687"/>
    <w:rsid w:val="00041B35"/>
    <w:rsid w:val="000451F7"/>
    <w:rsid w:val="0004686D"/>
    <w:rsid w:val="00052082"/>
    <w:rsid w:val="00055E6C"/>
    <w:rsid w:val="00060DA1"/>
    <w:rsid w:val="00066EDD"/>
    <w:rsid w:val="000734AB"/>
    <w:rsid w:val="00073DF0"/>
    <w:rsid w:val="000741F3"/>
    <w:rsid w:val="00074787"/>
    <w:rsid w:val="000767FD"/>
    <w:rsid w:val="000830E5"/>
    <w:rsid w:val="00083744"/>
    <w:rsid w:val="00085A54"/>
    <w:rsid w:val="00085E3A"/>
    <w:rsid w:val="00092BD0"/>
    <w:rsid w:val="00094947"/>
    <w:rsid w:val="0009676B"/>
    <w:rsid w:val="000A062D"/>
    <w:rsid w:val="000A77AB"/>
    <w:rsid w:val="000A7B2E"/>
    <w:rsid w:val="000B3BEC"/>
    <w:rsid w:val="000B74B1"/>
    <w:rsid w:val="000D093E"/>
    <w:rsid w:val="000D2201"/>
    <w:rsid w:val="000D424F"/>
    <w:rsid w:val="000E319F"/>
    <w:rsid w:val="000F4DBD"/>
    <w:rsid w:val="000F6691"/>
    <w:rsid w:val="000F74A4"/>
    <w:rsid w:val="000F7CE6"/>
    <w:rsid w:val="0010031A"/>
    <w:rsid w:val="00101FD5"/>
    <w:rsid w:val="001028EE"/>
    <w:rsid w:val="001068C3"/>
    <w:rsid w:val="00110FB6"/>
    <w:rsid w:val="00111266"/>
    <w:rsid w:val="001126A6"/>
    <w:rsid w:val="00114A5C"/>
    <w:rsid w:val="0013050F"/>
    <w:rsid w:val="00131943"/>
    <w:rsid w:val="00131A95"/>
    <w:rsid w:val="0013271B"/>
    <w:rsid w:val="0013368C"/>
    <w:rsid w:val="001428E8"/>
    <w:rsid w:val="0014450F"/>
    <w:rsid w:val="001467DE"/>
    <w:rsid w:val="00146BFA"/>
    <w:rsid w:val="00150693"/>
    <w:rsid w:val="001518A3"/>
    <w:rsid w:val="00163E67"/>
    <w:rsid w:val="00171640"/>
    <w:rsid w:val="00174FFC"/>
    <w:rsid w:val="00176441"/>
    <w:rsid w:val="00184869"/>
    <w:rsid w:val="00190CEA"/>
    <w:rsid w:val="00192DCD"/>
    <w:rsid w:val="00196897"/>
    <w:rsid w:val="001A2F2F"/>
    <w:rsid w:val="001A31FD"/>
    <w:rsid w:val="001A385E"/>
    <w:rsid w:val="001B5018"/>
    <w:rsid w:val="001B75EB"/>
    <w:rsid w:val="001C12BB"/>
    <w:rsid w:val="001C1473"/>
    <w:rsid w:val="001C17E4"/>
    <w:rsid w:val="001C26A3"/>
    <w:rsid w:val="001D19EC"/>
    <w:rsid w:val="001E11A9"/>
    <w:rsid w:val="001F0F6D"/>
    <w:rsid w:val="001F3296"/>
    <w:rsid w:val="001F50DB"/>
    <w:rsid w:val="001F5629"/>
    <w:rsid w:val="001F64AD"/>
    <w:rsid w:val="001F6DAD"/>
    <w:rsid w:val="001F7F5C"/>
    <w:rsid w:val="00202462"/>
    <w:rsid w:val="00203C16"/>
    <w:rsid w:val="002066F9"/>
    <w:rsid w:val="0021273D"/>
    <w:rsid w:val="00215A41"/>
    <w:rsid w:val="00216D8D"/>
    <w:rsid w:val="0024513C"/>
    <w:rsid w:val="00246BE7"/>
    <w:rsid w:val="00250883"/>
    <w:rsid w:val="00251EDB"/>
    <w:rsid w:val="00253247"/>
    <w:rsid w:val="00253E91"/>
    <w:rsid w:val="00262FF2"/>
    <w:rsid w:val="00266396"/>
    <w:rsid w:val="00266BF8"/>
    <w:rsid w:val="00272037"/>
    <w:rsid w:val="0028445F"/>
    <w:rsid w:val="00284D84"/>
    <w:rsid w:val="00286813"/>
    <w:rsid w:val="00286BA1"/>
    <w:rsid w:val="00291D03"/>
    <w:rsid w:val="0029676C"/>
    <w:rsid w:val="002A1E56"/>
    <w:rsid w:val="002A51C4"/>
    <w:rsid w:val="002B3686"/>
    <w:rsid w:val="002C1F63"/>
    <w:rsid w:val="002C354C"/>
    <w:rsid w:val="002D0206"/>
    <w:rsid w:val="002D390F"/>
    <w:rsid w:val="002D48A1"/>
    <w:rsid w:val="002D7558"/>
    <w:rsid w:val="002F53AE"/>
    <w:rsid w:val="002F6486"/>
    <w:rsid w:val="0030689C"/>
    <w:rsid w:val="00313B2B"/>
    <w:rsid w:val="00317977"/>
    <w:rsid w:val="00321FF8"/>
    <w:rsid w:val="0032334E"/>
    <w:rsid w:val="0032358A"/>
    <w:rsid w:val="00331CE1"/>
    <w:rsid w:val="00331D92"/>
    <w:rsid w:val="00334789"/>
    <w:rsid w:val="00343816"/>
    <w:rsid w:val="0034421A"/>
    <w:rsid w:val="00345D7F"/>
    <w:rsid w:val="00350CDF"/>
    <w:rsid w:val="003613A4"/>
    <w:rsid w:val="00362348"/>
    <w:rsid w:val="00373054"/>
    <w:rsid w:val="003748F7"/>
    <w:rsid w:val="0037771E"/>
    <w:rsid w:val="00381BA6"/>
    <w:rsid w:val="00381ED7"/>
    <w:rsid w:val="00381FDF"/>
    <w:rsid w:val="00385013"/>
    <w:rsid w:val="00385C12"/>
    <w:rsid w:val="00386D8F"/>
    <w:rsid w:val="00392750"/>
    <w:rsid w:val="00393E56"/>
    <w:rsid w:val="00393EA0"/>
    <w:rsid w:val="00394843"/>
    <w:rsid w:val="003954A6"/>
    <w:rsid w:val="00397AD6"/>
    <w:rsid w:val="003A0A58"/>
    <w:rsid w:val="003A5F8A"/>
    <w:rsid w:val="003B376C"/>
    <w:rsid w:val="003C29D5"/>
    <w:rsid w:val="003C6B5B"/>
    <w:rsid w:val="003C6E97"/>
    <w:rsid w:val="003C7245"/>
    <w:rsid w:val="003D1458"/>
    <w:rsid w:val="003D5E7C"/>
    <w:rsid w:val="003E2458"/>
    <w:rsid w:val="003E3586"/>
    <w:rsid w:val="003E54F3"/>
    <w:rsid w:val="003E7FAF"/>
    <w:rsid w:val="003F1B23"/>
    <w:rsid w:val="003F2117"/>
    <w:rsid w:val="003F5430"/>
    <w:rsid w:val="003F7876"/>
    <w:rsid w:val="004013F2"/>
    <w:rsid w:val="00401CA0"/>
    <w:rsid w:val="004021C2"/>
    <w:rsid w:val="00415A35"/>
    <w:rsid w:val="00415AD0"/>
    <w:rsid w:val="00415BD3"/>
    <w:rsid w:val="00423044"/>
    <w:rsid w:val="00425044"/>
    <w:rsid w:val="004254DC"/>
    <w:rsid w:val="004301D3"/>
    <w:rsid w:val="004401A5"/>
    <w:rsid w:val="00444B35"/>
    <w:rsid w:val="004472B3"/>
    <w:rsid w:val="00455600"/>
    <w:rsid w:val="004629FA"/>
    <w:rsid w:val="00465768"/>
    <w:rsid w:val="00467DCF"/>
    <w:rsid w:val="00471DA2"/>
    <w:rsid w:val="0047517A"/>
    <w:rsid w:val="0048044F"/>
    <w:rsid w:val="00480589"/>
    <w:rsid w:val="00481D93"/>
    <w:rsid w:val="004835EB"/>
    <w:rsid w:val="00485265"/>
    <w:rsid w:val="00485BD5"/>
    <w:rsid w:val="0049477A"/>
    <w:rsid w:val="00497B94"/>
    <w:rsid w:val="004A07C4"/>
    <w:rsid w:val="004A7A66"/>
    <w:rsid w:val="004B136C"/>
    <w:rsid w:val="004B1D89"/>
    <w:rsid w:val="004B237D"/>
    <w:rsid w:val="004B2D99"/>
    <w:rsid w:val="004B50A2"/>
    <w:rsid w:val="004B7E34"/>
    <w:rsid w:val="004C20ED"/>
    <w:rsid w:val="004C2D4F"/>
    <w:rsid w:val="004C6E9E"/>
    <w:rsid w:val="004D1602"/>
    <w:rsid w:val="004E25F1"/>
    <w:rsid w:val="004E3085"/>
    <w:rsid w:val="004E4BCD"/>
    <w:rsid w:val="004E5B44"/>
    <w:rsid w:val="004E6A81"/>
    <w:rsid w:val="004E7A5D"/>
    <w:rsid w:val="004F1714"/>
    <w:rsid w:val="005028A2"/>
    <w:rsid w:val="00504BF3"/>
    <w:rsid w:val="00506CAA"/>
    <w:rsid w:val="005121EC"/>
    <w:rsid w:val="00513D3F"/>
    <w:rsid w:val="00533732"/>
    <w:rsid w:val="0053501F"/>
    <w:rsid w:val="00535309"/>
    <w:rsid w:val="00535529"/>
    <w:rsid w:val="00540DFD"/>
    <w:rsid w:val="00547457"/>
    <w:rsid w:val="00552907"/>
    <w:rsid w:val="005577F7"/>
    <w:rsid w:val="00563B94"/>
    <w:rsid w:val="005641BE"/>
    <w:rsid w:val="00565BA8"/>
    <w:rsid w:val="00565F4E"/>
    <w:rsid w:val="005710CB"/>
    <w:rsid w:val="00571F85"/>
    <w:rsid w:val="00572135"/>
    <w:rsid w:val="00573510"/>
    <w:rsid w:val="00574FB8"/>
    <w:rsid w:val="005769FE"/>
    <w:rsid w:val="005775B7"/>
    <w:rsid w:val="00577C25"/>
    <w:rsid w:val="00585089"/>
    <w:rsid w:val="00587BA1"/>
    <w:rsid w:val="00593324"/>
    <w:rsid w:val="00594C0C"/>
    <w:rsid w:val="005964ED"/>
    <w:rsid w:val="005A0724"/>
    <w:rsid w:val="005A25C4"/>
    <w:rsid w:val="005A26BE"/>
    <w:rsid w:val="005A2B43"/>
    <w:rsid w:val="005A4FB1"/>
    <w:rsid w:val="005B11CA"/>
    <w:rsid w:val="005B2B21"/>
    <w:rsid w:val="005B50DD"/>
    <w:rsid w:val="005C54B2"/>
    <w:rsid w:val="005C6F00"/>
    <w:rsid w:val="005E74C3"/>
    <w:rsid w:val="005F0D22"/>
    <w:rsid w:val="005F5E7D"/>
    <w:rsid w:val="005F79B8"/>
    <w:rsid w:val="00614FB4"/>
    <w:rsid w:val="00615BBE"/>
    <w:rsid w:val="00627045"/>
    <w:rsid w:val="006272F3"/>
    <w:rsid w:val="0063013C"/>
    <w:rsid w:val="00632292"/>
    <w:rsid w:val="00633CAC"/>
    <w:rsid w:val="00636F75"/>
    <w:rsid w:val="00644297"/>
    <w:rsid w:val="006504A3"/>
    <w:rsid w:val="00660D6E"/>
    <w:rsid w:val="00667BBD"/>
    <w:rsid w:val="00673044"/>
    <w:rsid w:val="006730CB"/>
    <w:rsid w:val="00674150"/>
    <w:rsid w:val="00675259"/>
    <w:rsid w:val="0068183A"/>
    <w:rsid w:val="00682865"/>
    <w:rsid w:val="006861F2"/>
    <w:rsid w:val="00686899"/>
    <w:rsid w:val="00687ABA"/>
    <w:rsid w:val="00690F26"/>
    <w:rsid w:val="00697E67"/>
    <w:rsid w:val="006A0E43"/>
    <w:rsid w:val="006A0F64"/>
    <w:rsid w:val="006A10C0"/>
    <w:rsid w:val="006A4FD8"/>
    <w:rsid w:val="006A69D9"/>
    <w:rsid w:val="006C0300"/>
    <w:rsid w:val="006C23EC"/>
    <w:rsid w:val="006C3F42"/>
    <w:rsid w:val="006C7006"/>
    <w:rsid w:val="006D0413"/>
    <w:rsid w:val="006D4CC8"/>
    <w:rsid w:val="006D6798"/>
    <w:rsid w:val="006E0968"/>
    <w:rsid w:val="006E17BC"/>
    <w:rsid w:val="006E32E3"/>
    <w:rsid w:val="006E7453"/>
    <w:rsid w:val="006E7B35"/>
    <w:rsid w:val="006F2EE7"/>
    <w:rsid w:val="0070007E"/>
    <w:rsid w:val="00704DFA"/>
    <w:rsid w:val="007055C5"/>
    <w:rsid w:val="00705ABB"/>
    <w:rsid w:val="007113AD"/>
    <w:rsid w:val="00711DF2"/>
    <w:rsid w:val="00721615"/>
    <w:rsid w:val="00722275"/>
    <w:rsid w:val="00722582"/>
    <w:rsid w:val="00726EAB"/>
    <w:rsid w:val="007306BC"/>
    <w:rsid w:val="00733D13"/>
    <w:rsid w:val="00742DD1"/>
    <w:rsid w:val="007430BA"/>
    <w:rsid w:val="00743C4A"/>
    <w:rsid w:val="0075193D"/>
    <w:rsid w:val="00751F6C"/>
    <w:rsid w:val="007533E1"/>
    <w:rsid w:val="00753F2F"/>
    <w:rsid w:val="00775BFA"/>
    <w:rsid w:val="00781C3F"/>
    <w:rsid w:val="00781FB1"/>
    <w:rsid w:val="00784358"/>
    <w:rsid w:val="00784E23"/>
    <w:rsid w:val="007A4367"/>
    <w:rsid w:val="007A4A38"/>
    <w:rsid w:val="007A5B6D"/>
    <w:rsid w:val="007B2393"/>
    <w:rsid w:val="007B5F60"/>
    <w:rsid w:val="007B613C"/>
    <w:rsid w:val="007B7531"/>
    <w:rsid w:val="007B7882"/>
    <w:rsid w:val="007C144C"/>
    <w:rsid w:val="007C6FB2"/>
    <w:rsid w:val="007D1DDE"/>
    <w:rsid w:val="007D234A"/>
    <w:rsid w:val="007D4D4F"/>
    <w:rsid w:val="007F1CA0"/>
    <w:rsid w:val="007F47E3"/>
    <w:rsid w:val="0080147A"/>
    <w:rsid w:val="00805D7F"/>
    <w:rsid w:val="00806B12"/>
    <w:rsid w:val="00810765"/>
    <w:rsid w:val="00814FCA"/>
    <w:rsid w:val="00815F8C"/>
    <w:rsid w:val="008249C4"/>
    <w:rsid w:val="008268BF"/>
    <w:rsid w:val="008341EF"/>
    <w:rsid w:val="008371A8"/>
    <w:rsid w:val="00841FAE"/>
    <w:rsid w:val="00842908"/>
    <w:rsid w:val="00845F44"/>
    <w:rsid w:val="00856F37"/>
    <w:rsid w:val="008626B4"/>
    <w:rsid w:val="00865DF3"/>
    <w:rsid w:val="008675B4"/>
    <w:rsid w:val="00870CF8"/>
    <w:rsid w:val="00874F96"/>
    <w:rsid w:val="00886972"/>
    <w:rsid w:val="00894B27"/>
    <w:rsid w:val="0089760C"/>
    <w:rsid w:val="008A056E"/>
    <w:rsid w:val="008A6E93"/>
    <w:rsid w:val="008B4FDD"/>
    <w:rsid w:val="008B648D"/>
    <w:rsid w:val="008B719A"/>
    <w:rsid w:val="008B784C"/>
    <w:rsid w:val="008C0E21"/>
    <w:rsid w:val="008D262E"/>
    <w:rsid w:val="008D3C53"/>
    <w:rsid w:val="008E32B9"/>
    <w:rsid w:val="008E7E94"/>
    <w:rsid w:val="008F05F6"/>
    <w:rsid w:val="008F1050"/>
    <w:rsid w:val="008F2C1A"/>
    <w:rsid w:val="00900B2F"/>
    <w:rsid w:val="00903C34"/>
    <w:rsid w:val="00907B47"/>
    <w:rsid w:val="0091007F"/>
    <w:rsid w:val="00911A95"/>
    <w:rsid w:val="009166E5"/>
    <w:rsid w:val="009174B2"/>
    <w:rsid w:val="00920C30"/>
    <w:rsid w:val="009278FF"/>
    <w:rsid w:val="00932297"/>
    <w:rsid w:val="009343C6"/>
    <w:rsid w:val="00940CCE"/>
    <w:rsid w:val="00941DF2"/>
    <w:rsid w:val="00942345"/>
    <w:rsid w:val="00943CF8"/>
    <w:rsid w:val="00951DDA"/>
    <w:rsid w:val="00955866"/>
    <w:rsid w:val="00962072"/>
    <w:rsid w:val="00966916"/>
    <w:rsid w:val="009675E4"/>
    <w:rsid w:val="0097015A"/>
    <w:rsid w:val="00971088"/>
    <w:rsid w:val="009743B1"/>
    <w:rsid w:val="00975183"/>
    <w:rsid w:val="009757DB"/>
    <w:rsid w:val="00981254"/>
    <w:rsid w:val="00987195"/>
    <w:rsid w:val="00994542"/>
    <w:rsid w:val="00994676"/>
    <w:rsid w:val="009973DE"/>
    <w:rsid w:val="009A2F04"/>
    <w:rsid w:val="009A3DEE"/>
    <w:rsid w:val="009B65A9"/>
    <w:rsid w:val="009C5B1E"/>
    <w:rsid w:val="009C681D"/>
    <w:rsid w:val="009D0003"/>
    <w:rsid w:val="009D3C0A"/>
    <w:rsid w:val="009D41F2"/>
    <w:rsid w:val="009D7064"/>
    <w:rsid w:val="009E6A09"/>
    <w:rsid w:val="009E7A32"/>
    <w:rsid w:val="009F172A"/>
    <w:rsid w:val="009F2497"/>
    <w:rsid w:val="009F7B29"/>
    <w:rsid w:val="00A02A58"/>
    <w:rsid w:val="00A125CA"/>
    <w:rsid w:val="00A12679"/>
    <w:rsid w:val="00A1426D"/>
    <w:rsid w:val="00A15DEB"/>
    <w:rsid w:val="00A1657E"/>
    <w:rsid w:val="00A17EDA"/>
    <w:rsid w:val="00A20520"/>
    <w:rsid w:val="00A259AB"/>
    <w:rsid w:val="00A25FFA"/>
    <w:rsid w:val="00A27A07"/>
    <w:rsid w:val="00A31AC3"/>
    <w:rsid w:val="00A341B9"/>
    <w:rsid w:val="00A47FF8"/>
    <w:rsid w:val="00A56FE6"/>
    <w:rsid w:val="00A61D4B"/>
    <w:rsid w:val="00A6300A"/>
    <w:rsid w:val="00A65EE3"/>
    <w:rsid w:val="00A6630A"/>
    <w:rsid w:val="00A66885"/>
    <w:rsid w:val="00A67427"/>
    <w:rsid w:val="00A74555"/>
    <w:rsid w:val="00A848D2"/>
    <w:rsid w:val="00A87327"/>
    <w:rsid w:val="00AA03EC"/>
    <w:rsid w:val="00AA0782"/>
    <w:rsid w:val="00AA0C7B"/>
    <w:rsid w:val="00AA67E8"/>
    <w:rsid w:val="00AA6D36"/>
    <w:rsid w:val="00AB5D4F"/>
    <w:rsid w:val="00AB75EA"/>
    <w:rsid w:val="00AC0E65"/>
    <w:rsid w:val="00AC3896"/>
    <w:rsid w:val="00AC3D8A"/>
    <w:rsid w:val="00AC664C"/>
    <w:rsid w:val="00AC7AEC"/>
    <w:rsid w:val="00AD014D"/>
    <w:rsid w:val="00AD1C3A"/>
    <w:rsid w:val="00AD59AF"/>
    <w:rsid w:val="00AD5F63"/>
    <w:rsid w:val="00AE4326"/>
    <w:rsid w:val="00AF5179"/>
    <w:rsid w:val="00B02A4D"/>
    <w:rsid w:val="00B03CC8"/>
    <w:rsid w:val="00B06B46"/>
    <w:rsid w:val="00B10574"/>
    <w:rsid w:val="00B10F0C"/>
    <w:rsid w:val="00B21E44"/>
    <w:rsid w:val="00B24F71"/>
    <w:rsid w:val="00B317A4"/>
    <w:rsid w:val="00B3791E"/>
    <w:rsid w:val="00B52443"/>
    <w:rsid w:val="00B54AA4"/>
    <w:rsid w:val="00B56ADB"/>
    <w:rsid w:val="00B729C7"/>
    <w:rsid w:val="00B804B1"/>
    <w:rsid w:val="00B806BF"/>
    <w:rsid w:val="00B80E83"/>
    <w:rsid w:val="00B82DA7"/>
    <w:rsid w:val="00B8422B"/>
    <w:rsid w:val="00B85DB8"/>
    <w:rsid w:val="00B87405"/>
    <w:rsid w:val="00B90402"/>
    <w:rsid w:val="00BA029D"/>
    <w:rsid w:val="00BA2C67"/>
    <w:rsid w:val="00BA4BAA"/>
    <w:rsid w:val="00BB3FA3"/>
    <w:rsid w:val="00BB6D79"/>
    <w:rsid w:val="00BB7482"/>
    <w:rsid w:val="00BB78FB"/>
    <w:rsid w:val="00BC23D9"/>
    <w:rsid w:val="00BC589B"/>
    <w:rsid w:val="00BD0DF6"/>
    <w:rsid w:val="00BD4BE4"/>
    <w:rsid w:val="00BD7D1F"/>
    <w:rsid w:val="00BE17EA"/>
    <w:rsid w:val="00BE2DF2"/>
    <w:rsid w:val="00BE3821"/>
    <w:rsid w:val="00BE3DA4"/>
    <w:rsid w:val="00BE4AB9"/>
    <w:rsid w:val="00BE773F"/>
    <w:rsid w:val="00BF127C"/>
    <w:rsid w:val="00BF2091"/>
    <w:rsid w:val="00BF3755"/>
    <w:rsid w:val="00BF3998"/>
    <w:rsid w:val="00BF3D80"/>
    <w:rsid w:val="00BF59BA"/>
    <w:rsid w:val="00C04056"/>
    <w:rsid w:val="00C20280"/>
    <w:rsid w:val="00C27E5E"/>
    <w:rsid w:val="00C373C8"/>
    <w:rsid w:val="00C404F9"/>
    <w:rsid w:val="00C50CF2"/>
    <w:rsid w:val="00C542C4"/>
    <w:rsid w:val="00C56FA0"/>
    <w:rsid w:val="00C63EB8"/>
    <w:rsid w:val="00C65F7E"/>
    <w:rsid w:val="00C818E5"/>
    <w:rsid w:val="00C82762"/>
    <w:rsid w:val="00C93735"/>
    <w:rsid w:val="00C96B0F"/>
    <w:rsid w:val="00C96C35"/>
    <w:rsid w:val="00CA0EC1"/>
    <w:rsid w:val="00CA2360"/>
    <w:rsid w:val="00CA520A"/>
    <w:rsid w:val="00CA5555"/>
    <w:rsid w:val="00CB35B1"/>
    <w:rsid w:val="00CB538A"/>
    <w:rsid w:val="00CB7345"/>
    <w:rsid w:val="00CC21EA"/>
    <w:rsid w:val="00CD1BD2"/>
    <w:rsid w:val="00CD5B78"/>
    <w:rsid w:val="00CD6F68"/>
    <w:rsid w:val="00CE480A"/>
    <w:rsid w:val="00CE50F9"/>
    <w:rsid w:val="00D1319F"/>
    <w:rsid w:val="00D2101A"/>
    <w:rsid w:val="00D21DD5"/>
    <w:rsid w:val="00D24BD3"/>
    <w:rsid w:val="00D26B4F"/>
    <w:rsid w:val="00D405F6"/>
    <w:rsid w:val="00D41E62"/>
    <w:rsid w:val="00D43CE7"/>
    <w:rsid w:val="00D51321"/>
    <w:rsid w:val="00D54958"/>
    <w:rsid w:val="00D74844"/>
    <w:rsid w:val="00D75082"/>
    <w:rsid w:val="00D77216"/>
    <w:rsid w:val="00D7742C"/>
    <w:rsid w:val="00D7756E"/>
    <w:rsid w:val="00D808E2"/>
    <w:rsid w:val="00D905A2"/>
    <w:rsid w:val="00D92184"/>
    <w:rsid w:val="00D92D3B"/>
    <w:rsid w:val="00D9691A"/>
    <w:rsid w:val="00DA0796"/>
    <w:rsid w:val="00DA1213"/>
    <w:rsid w:val="00DA354C"/>
    <w:rsid w:val="00DA3A3D"/>
    <w:rsid w:val="00DA3BD6"/>
    <w:rsid w:val="00DA3FCD"/>
    <w:rsid w:val="00DA55CA"/>
    <w:rsid w:val="00DA735A"/>
    <w:rsid w:val="00DB12C6"/>
    <w:rsid w:val="00DB5EA8"/>
    <w:rsid w:val="00DC1352"/>
    <w:rsid w:val="00DC1F39"/>
    <w:rsid w:val="00DC1F56"/>
    <w:rsid w:val="00DC29E0"/>
    <w:rsid w:val="00DC5E80"/>
    <w:rsid w:val="00DC6F0E"/>
    <w:rsid w:val="00DD654B"/>
    <w:rsid w:val="00DE01ED"/>
    <w:rsid w:val="00DE56C6"/>
    <w:rsid w:val="00DE57B7"/>
    <w:rsid w:val="00DE6487"/>
    <w:rsid w:val="00DF66C4"/>
    <w:rsid w:val="00E02077"/>
    <w:rsid w:val="00E0469F"/>
    <w:rsid w:val="00E0617D"/>
    <w:rsid w:val="00E0662E"/>
    <w:rsid w:val="00E14B34"/>
    <w:rsid w:val="00E16F91"/>
    <w:rsid w:val="00E20DAA"/>
    <w:rsid w:val="00E21C33"/>
    <w:rsid w:val="00E2350E"/>
    <w:rsid w:val="00E24892"/>
    <w:rsid w:val="00E256C8"/>
    <w:rsid w:val="00E3056E"/>
    <w:rsid w:val="00E31DCA"/>
    <w:rsid w:val="00E32E4B"/>
    <w:rsid w:val="00E33B15"/>
    <w:rsid w:val="00E44953"/>
    <w:rsid w:val="00E50DA0"/>
    <w:rsid w:val="00E537A9"/>
    <w:rsid w:val="00E541A3"/>
    <w:rsid w:val="00E6188D"/>
    <w:rsid w:val="00E7179D"/>
    <w:rsid w:val="00E75E2B"/>
    <w:rsid w:val="00E80988"/>
    <w:rsid w:val="00E905ED"/>
    <w:rsid w:val="00E953C6"/>
    <w:rsid w:val="00E9609F"/>
    <w:rsid w:val="00EA30F8"/>
    <w:rsid w:val="00EA55DF"/>
    <w:rsid w:val="00EA5E10"/>
    <w:rsid w:val="00EA72DB"/>
    <w:rsid w:val="00EB386A"/>
    <w:rsid w:val="00EB5B85"/>
    <w:rsid w:val="00EC0D65"/>
    <w:rsid w:val="00EC0FB5"/>
    <w:rsid w:val="00EC4EC3"/>
    <w:rsid w:val="00ED137F"/>
    <w:rsid w:val="00ED2F30"/>
    <w:rsid w:val="00ED402E"/>
    <w:rsid w:val="00EE1546"/>
    <w:rsid w:val="00EE20AB"/>
    <w:rsid w:val="00EE52F5"/>
    <w:rsid w:val="00EE53CC"/>
    <w:rsid w:val="00EE6567"/>
    <w:rsid w:val="00EF3B19"/>
    <w:rsid w:val="00EF4B4D"/>
    <w:rsid w:val="00F0316D"/>
    <w:rsid w:val="00F050A3"/>
    <w:rsid w:val="00F0597D"/>
    <w:rsid w:val="00F06B4A"/>
    <w:rsid w:val="00F141EF"/>
    <w:rsid w:val="00F17595"/>
    <w:rsid w:val="00F215DC"/>
    <w:rsid w:val="00F23171"/>
    <w:rsid w:val="00F236DC"/>
    <w:rsid w:val="00F26620"/>
    <w:rsid w:val="00F30AFF"/>
    <w:rsid w:val="00F31CF9"/>
    <w:rsid w:val="00F3640F"/>
    <w:rsid w:val="00F42E9D"/>
    <w:rsid w:val="00F462CA"/>
    <w:rsid w:val="00F519FC"/>
    <w:rsid w:val="00F55B6E"/>
    <w:rsid w:val="00F60FC9"/>
    <w:rsid w:val="00F61A2B"/>
    <w:rsid w:val="00F63E37"/>
    <w:rsid w:val="00F70731"/>
    <w:rsid w:val="00F71898"/>
    <w:rsid w:val="00F77AE0"/>
    <w:rsid w:val="00F846C8"/>
    <w:rsid w:val="00F8581B"/>
    <w:rsid w:val="00F91691"/>
    <w:rsid w:val="00F91E01"/>
    <w:rsid w:val="00F92B2B"/>
    <w:rsid w:val="00F96C97"/>
    <w:rsid w:val="00F97ECC"/>
    <w:rsid w:val="00FA2DC8"/>
    <w:rsid w:val="00FA4645"/>
    <w:rsid w:val="00FA4BDE"/>
    <w:rsid w:val="00FB51EE"/>
    <w:rsid w:val="00FC16BC"/>
    <w:rsid w:val="00FC2A20"/>
    <w:rsid w:val="00FC5545"/>
    <w:rsid w:val="00FC6B19"/>
    <w:rsid w:val="00FC7FA5"/>
    <w:rsid w:val="00FD1D11"/>
    <w:rsid w:val="00FD1D88"/>
    <w:rsid w:val="00FD3AF4"/>
    <w:rsid w:val="00FE01EB"/>
    <w:rsid w:val="00FE4A43"/>
    <w:rsid w:val="00FE502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508FBB0"/>
  <w15:chartTrackingRefBased/>
  <w15:docId w15:val="{15A0B13F-6C96-8747-96DF-3D46C14D5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D8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C3D8A"/>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AC3D8A"/>
    <w:pPr>
      <w:framePr w:hSpace="180" w:wrap="around" w:vAnchor="page" w:hAnchor="margin" w:y="2145"/>
    </w:pPr>
    <w:rPr>
      <w:rFonts w:ascii="Calibri" w:hAnsi="Calibri" w:cs="Calibri"/>
    </w:rPr>
  </w:style>
  <w:style w:type="character" w:customStyle="1" w:styleId="EndNoteBibliographyChar">
    <w:name w:val="EndNote Bibliography Char"/>
    <w:basedOn w:val="DefaultParagraphFont"/>
    <w:link w:val="EndNoteBibliography"/>
    <w:rsid w:val="00AC3D8A"/>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971</Words>
  <Characters>5539</Characters>
  <Application>Microsoft Office Word</Application>
  <DocSecurity>0</DocSecurity>
  <Lines>46</Lines>
  <Paragraphs>12</Paragraphs>
  <ScaleCrop>false</ScaleCrop>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Le</dc:creator>
  <cp:keywords/>
  <dc:description/>
  <cp:lastModifiedBy>Christina Le</cp:lastModifiedBy>
  <cp:revision>3</cp:revision>
  <dcterms:created xsi:type="dcterms:W3CDTF">2019-11-03T21:57:00Z</dcterms:created>
  <dcterms:modified xsi:type="dcterms:W3CDTF">2019-12-09T19:42:00Z</dcterms:modified>
</cp:coreProperties>
</file>